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before="0" w:after="120"/>
        <w:jc w:val="right"/>
      </w:pPr>
      <w:r>
        <w:rPr>
          <w:rFonts w:ascii="Times New Roman" w:eastAsia="Times New Roman" w:hAnsi="Times New Roman" w:cs="Times New Roman"/>
          <w:b/>
          <w:i w:val="0"/>
          <w:sz w:val="22"/>
        </w:rPr>
        <w:t>EK: C</w:t>
      </w:r>
    </w:p>
    <w:p>
      <w:pPr>
        <w:spacing w:before="0" w:after="40"/>
        <w:jc w:val="center"/>
      </w:pPr>
      <w:r>
        <w:rPr>
          <w:rFonts w:ascii="Times New Roman" w:eastAsia="Times New Roman" w:hAnsi="Times New Roman" w:cs="Times New Roman"/>
          <w:b/>
          <w:i w:val="0"/>
          <w:sz w:val="26"/>
        </w:rPr>
        <w:t>DÖVİZ POZİSYONU BİLDİRİM FORMU</w:t>
      </w:r>
    </w:p>
    <w:p>
      <w:pPr>
        <w:spacing w:before="0" w:after="120"/>
        <w:jc w:val="center"/>
      </w:pPr>
      <w:r>
        <w:rPr>
          <w:rFonts w:ascii="Times New Roman" w:eastAsia="Times New Roman" w:hAnsi="Times New Roman" w:cs="Times New Roman"/>
          <w:b w:val="0"/>
          <w:i w:val="0"/>
          <w:sz w:val="17"/>
        </w:rPr>
        <w:t>(Satır, sütun silmeyiniz. Tutarları, boşluk bırakmadan sadece sayı ile yazınız. Bu form döviz dönüşüm desteği işlemlerinde, düzenleme tarihinden itibaren 15 gün süreyle geçerlidir.)</w:t>
      </w:r>
    </w:p>
    <w:tbl>
      <w:tblPr>
        <w:tblW w:w="9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653"/>
        <w:gridCol w:w="2653"/>
        <w:gridCol w:w="2653"/>
        <w:gridCol w:w="1061"/>
      </w:tblGrid>
      <w:tr>
        <w:tc>
          <w:tcPr>
            <w:tcW w:w="2653" w:type="dxa"/>
            <w:vAlign w:val="center"/>
          </w:tcPr>
          <w:p>
            <w:pPr>
              <w:spacing w:before="0" w:after="0"/>
              <w:jc w:val="left"/>
            </w:pPr>
            <w:r>
              <w:rPr>
                <w:rFonts w:ascii="Times New Roman" w:eastAsia="Times New Roman" w:hAnsi="Times New Roman" w:cs="Times New Roman"/>
                <w:b/>
                <w:sz w:val="16"/>
              </w:rPr>
              <w:t>Firma Ünvanı</w:t>
            </w:r>
          </w:p>
        </w:tc>
        <w:tc>
          <w:tcPr>
            <w:tcW w:w="2653" w:type="dxa"/>
            <w:vAlign w:val="center"/>
          </w:tcPr>
          <w:p>
            <w:pPr>
              <w:spacing w:before="0" w:after="0"/>
              <w:jc w:val="left"/>
            </w:pPr>
            <w:r>
              <w:rPr>
                <w:rFonts w:ascii="Times New Roman" w:eastAsia="Times New Roman" w:hAnsi="Times New Roman" w:cs="Times New Roman"/>
                <w:b w:val="0"/>
                <w:sz w:val="16"/>
              </w:rPr>
              <w:t>Örnek Sanayi ve Dış Ticaret A.Ş.</w:t>
            </w:r>
          </w:p>
        </w:tc>
        <w:tc>
          <w:tcPr>
            <w:tcW w:w="2653" w:type="dxa"/>
            <w:vAlign w:val="center"/>
          </w:tcPr>
          <w:p>
            <w:pPr>
              <w:spacing w:before="0" w:after="0"/>
              <w:jc w:val="left"/>
            </w:pPr>
            <w:r>
              <w:rPr>
                <w:rFonts w:ascii="Times New Roman" w:eastAsia="Times New Roman" w:hAnsi="Times New Roman" w:cs="Times New Roman"/>
                <w:b/>
                <w:sz w:val="16"/>
              </w:rPr>
              <w:t>Düzenleme Tarihi:</w:t>
            </w:r>
          </w:p>
        </w:tc>
        <w:tc>
          <w:tcPr>
            <w:tcW w:w="1061" w:type="dxa"/>
            <w:vAlign w:val="center"/>
          </w:tcPr>
          <w:p>
            <w:pPr>
              <w:spacing w:before="0" w:after="0"/>
              <w:jc w:val="left"/>
            </w:pPr>
            <w:r>
              <w:rPr>
                <w:rFonts w:ascii="Times New Roman" w:eastAsia="Times New Roman" w:hAnsi="Times New Roman" w:cs="Times New Roman"/>
                <w:b w:val="0"/>
                <w:sz w:val="16"/>
              </w:rPr>
              <w:t>03/11/2026</w:t>
            </w:r>
          </w:p>
        </w:tc>
      </w:tr>
      <w:tr>
        <w:tc>
          <w:tcPr>
            <w:tcW w:w="2653" w:type="dxa"/>
            <w:vAlign w:val="center"/>
          </w:tcPr>
          <w:p>
            <w:pPr>
              <w:spacing w:before="0" w:after="0"/>
              <w:jc w:val="left"/>
            </w:pPr>
            <w:r>
              <w:rPr>
                <w:rFonts w:ascii="Times New Roman" w:eastAsia="Times New Roman" w:hAnsi="Times New Roman" w:cs="Times New Roman"/>
                <w:b/>
                <w:sz w:val="16"/>
              </w:rPr>
              <w:t>VKN</w:t>
            </w:r>
          </w:p>
        </w:tc>
        <w:tc>
          <w:tcPr>
            <w:tcW w:w="2653" w:type="dxa"/>
            <w:vAlign w:val="center"/>
          </w:tcPr>
          <w:p>
            <w:pPr>
              <w:spacing w:before="0" w:after="0"/>
              <w:jc w:val="left"/>
            </w:pPr>
            <w:r>
              <w:rPr>
                <w:rFonts w:ascii="Times New Roman" w:eastAsia="Times New Roman" w:hAnsi="Times New Roman" w:cs="Times New Roman"/>
                <w:b w:val="0"/>
                <w:sz w:val="16"/>
              </w:rPr>
              <w:t>8887776665</w:t>
            </w:r>
          </w:p>
        </w:tc>
        <w:tc>
          <w:tcPr>
            <w:tcW w:w="2653" w:type="dxa"/>
            <w:vAlign w:val="center"/>
          </w:tcPr>
          <w:p>
            <w:pPr>
              <w:spacing w:before="0" w:after="0"/>
              <w:jc w:val="left"/>
            </w:pPr>
            <w:r>
              <w:rPr>
                <w:rFonts w:ascii="Times New Roman" w:eastAsia="Times New Roman" w:hAnsi="Times New Roman" w:cs="Times New Roman"/>
                <w:b/>
                <w:sz w:val="16"/>
              </w:rPr>
              <w:t>Telefon / E-posta</w:t>
            </w:r>
          </w:p>
        </w:tc>
        <w:tc>
          <w:tcPr>
            <w:tcW w:w="1061" w:type="dxa"/>
            <w:vAlign w:val="center"/>
          </w:tcPr>
          <w:p>
            <w:pPr>
              <w:spacing w:before="0" w:after="0"/>
              <w:jc w:val="lef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sz w:val="16"/>
              </w:rPr>
              <w:t>I - AKTİF (DÜZENLEME TARİHİNDEKİ DÖVİZ VE ALTIN VARLIKLARI)</w:t>
            </w:r>
          </w:p>
        </w:tc>
        <w:tc>
          <w:tcPr>
            <w:tcW w:w="2653" w:type="dxa"/>
            <w:vAlign w:val="center"/>
          </w:tcPr>
          <w:p>
            <w:pPr>
              <w:spacing w:before="0" w:after="0"/>
              <w:jc w:val="center"/>
            </w:pPr>
            <w:r>
              <w:rPr>
                <w:rFonts w:ascii="Times New Roman" w:eastAsia="Times New Roman" w:hAnsi="Times New Roman" w:cs="Times New Roman"/>
                <w:b/>
                <w:sz w:val="16"/>
              </w:rPr>
              <w:t>TL KARŞILIĞI</w:t>
            </w:r>
          </w:p>
        </w:tc>
        <w:tc>
          <w:tcPr>
            <w:tcW w:w="2653" w:type="dxa"/>
            <w:vAlign w:val="center"/>
          </w:tcPr>
          <w:p>
            <w:pPr>
              <w:spacing w:before="0" w:after="0"/>
              <w:jc w:val="left"/>
            </w:pPr>
            <w:r>
              <w:rPr>
                <w:rFonts w:ascii="Times New Roman" w:eastAsia="Times New Roman" w:hAnsi="Times New Roman" w:cs="Times New Roman"/>
                <w:b/>
                <w:sz w:val="16"/>
              </w:rPr>
              <w:t>II - PASİF (DÜZENLEME TARİHİNDEKİ DÖVİZ VE ALTIN YÜKÜMLÜLÜKLERİ)</w:t>
            </w:r>
          </w:p>
        </w:tc>
        <w:tc>
          <w:tcPr>
            <w:tcW w:w="1061" w:type="dxa"/>
            <w:vAlign w:val="center"/>
          </w:tcPr>
          <w:p>
            <w:pPr>
              <w:spacing w:before="0" w:after="0"/>
              <w:jc w:val="center"/>
            </w:pPr>
            <w:r>
              <w:rPr>
                <w:rFonts w:ascii="Times New Roman" w:eastAsia="Times New Roman" w:hAnsi="Times New Roman" w:cs="Times New Roman"/>
                <w:b/>
                <w:sz w:val="16"/>
              </w:rPr>
              <w:t>TL KARŞILIĞI</w:t>
            </w:r>
          </w:p>
        </w:tc>
      </w:tr>
      <w:tr>
        <w:tc>
          <w:tcPr>
            <w:tcW w:w="2653" w:type="dxa"/>
            <w:vAlign w:val="center"/>
          </w:tcPr>
          <w:p>
            <w:pPr>
              <w:spacing w:before="0" w:after="0"/>
              <w:jc w:val="left"/>
            </w:pPr>
            <w:r>
              <w:rPr>
                <w:rFonts w:ascii="Times New Roman" w:eastAsia="Times New Roman" w:hAnsi="Times New Roman" w:cs="Times New Roman"/>
                <w:b w:val="0"/>
                <w:sz w:val="16"/>
              </w:rPr>
              <w:t>1.1. Kasa</w:t>
            </w:r>
          </w:p>
        </w:tc>
        <w:tc>
          <w:tcPr>
            <w:tcW w:w="2653" w:type="dxa"/>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2.1. Mali Borçlar</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1.2. Alınan Çekler</w:t>
            </w:r>
          </w:p>
        </w:tc>
        <w:tc>
          <w:tcPr>
            <w:tcW w:w="2653" w:type="dxa"/>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   2.1.1. Krediler</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1.3. Bankalar</w:t>
            </w:r>
          </w:p>
        </w:tc>
        <w:tc>
          <w:tcPr>
            <w:tcW w:w="2653" w:type="dxa"/>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      2.1.1.1. Yurt İçi Krediler</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   1.3.1. Yurt İçi Mevduat</w:t>
            </w:r>
          </w:p>
        </w:tc>
        <w:tc>
          <w:tcPr>
            <w:tcW w:w="2653" w:type="dxa"/>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      2.1.1.2. Yurt Dışı Krediler</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   1.3.2. Yurt Dışı Mevduat</w:t>
            </w:r>
          </w:p>
        </w:tc>
        <w:tc>
          <w:tcPr>
            <w:tcW w:w="2653" w:type="dxa"/>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   2.1.2 Finansal Kiralama Borçları</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1.4. Verilen Çekler ve Ödeme Emirleri</w:t>
            </w:r>
          </w:p>
        </w:tc>
        <w:tc>
          <w:tcPr>
            <w:tcW w:w="2653" w:type="dxa"/>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   2.1.3. Çıkarılmış Menkul Kıymetler</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1.5. Diğer Hazır Değerler</w:t>
            </w:r>
          </w:p>
        </w:tc>
        <w:tc>
          <w:tcPr>
            <w:tcW w:w="2653" w:type="dxa"/>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   2.1.4. Diğer Mali Borçlar</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1.6. Menkul Kıymetler</w:t>
            </w:r>
          </w:p>
        </w:tc>
        <w:tc>
          <w:tcPr>
            <w:tcW w:w="2653" w:type="dxa"/>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2.2. Ticari Borçlar</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1.7. Ticari Alacaklar</w:t>
            </w:r>
          </w:p>
        </w:tc>
        <w:tc>
          <w:tcPr>
            <w:tcW w:w="2653" w:type="dxa"/>
            <w:shd w:val="clear" w:color="auto" w:fill="BFBFBF"/>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   2.2.1. Yurt İçi Ticari Borçlar</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   1.7.1. Yurt İçi Ticari Alacaklar</w:t>
            </w:r>
          </w:p>
        </w:tc>
        <w:tc>
          <w:tcPr>
            <w:tcW w:w="2653" w:type="dxa"/>
            <w:shd w:val="clear" w:color="auto" w:fill="BFBFBF"/>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   2.2.2. Yurt Dışı Ticari Borçlar</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   1.7.2. Yurt Dışı Ticari Alacaklar</w:t>
            </w:r>
          </w:p>
        </w:tc>
        <w:tc>
          <w:tcPr>
            <w:tcW w:w="2653" w:type="dxa"/>
            <w:shd w:val="clear" w:color="auto" w:fill="BFBFBF"/>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2.3. Ortaklara, İştiraklere ve Bağlı Ortaklıklara Borçlar</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1.8. Ortak, İştirak ve Bağlı Ortaklıklardan Alacaklar</w:t>
            </w:r>
          </w:p>
        </w:tc>
        <w:tc>
          <w:tcPr>
            <w:tcW w:w="2653" w:type="dxa"/>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2.4. Diğer Borçlar</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1.9. Diğer Alacaklar</w:t>
            </w:r>
          </w:p>
        </w:tc>
        <w:tc>
          <w:tcPr>
            <w:tcW w:w="2653" w:type="dxa"/>
            <w:shd w:val="clear" w:color="auto" w:fill="BFBFBF"/>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2.5. Avanslar</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1.10. Yıllara Yaygın İnşaat ve Onarım Maliyetleri</w:t>
            </w:r>
          </w:p>
        </w:tc>
        <w:tc>
          <w:tcPr>
            <w:tcW w:w="2653" w:type="dxa"/>
            <w:shd w:val="clear" w:color="auto" w:fill="BFBFBF"/>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2.6. Yıllara Yaygın İnşaat ve Onarım Hak Edişleri</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1.11. Gelir Tahakkukları</w:t>
            </w:r>
          </w:p>
        </w:tc>
        <w:tc>
          <w:tcPr>
            <w:tcW w:w="2653" w:type="dxa"/>
            <w:shd w:val="clear" w:color="auto" w:fill="BFBFBF"/>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2.7. Gider Tahakkukları</w:t>
            </w:r>
          </w:p>
        </w:tc>
        <w:tc>
          <w:tcPr>
            <w:tcW w:w="1061" w:type="dxa"/>
            <w:shd w:val="clear" w:color="auto" w:fill="BFBFBF"/>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
            </w:r>
          </w:p>
        </w:tc>
        <w:tc>
          <w:tcPr>
            <w:tcW w:w="1061" w:type="dxa"/>
            <w:vAlign w:val="center"/>
          </w:tcPr>
          <w:p>
            <w:pPr>
              <w:spacing w:before="0" w:after="0"/>
              <w:jc w:val="lef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sz w:val="16"/>
              </w:rPr>
              <w:t>A. Hazır Döviz Varlıkları Toplamı (1.1 + 1.2. + 1.3 - 1.4 + 1.5 + 1.6 + 1.8)</w:t>
            </w:r>
          </w:p>
        </w:tc>
        <w:tc>
          <w:tcPr>
            <w:tcW w:w="2653" w:type="dxa"/>
            <w:vAlign w:val="center"/>
          </w:tcPr>
          <w:p>
            <w:pPr>
              <w:spacing w:before="0" w:after="0"/>
              <w:jc w:val="righ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sz w:val="16"/>
              </w:rPr>
              <w:t>B. Net Satış Hasılatı (TL)</w:t>
            </w:r>
          </w:p>
        </w:tc>
        <w:tc>
          <w:tcPr>
            <w:tcW w:w="1061" w:type="dxa"/>
            <w:vAlign w:val="center"/>
          </w:tcPr>
          <w:p>
            <w:pPr>
              <w:spacing w:before="0" w:after="0"/>
              <w:jc w:val="right"/>
            </w:pPr>
            <w:r>
              <w:rPr>
                <w:rFonts w:ascii="Times New Roman" w:eastAsia="Times New Roman" w:hAnsi="Times New Roman" w:cs="Times New Roman"/>
                <w:b w:val="0"/>
                <w:sz w:val="16"/>
              </w:rPr>
              <w:t>0,00</w:t>
            </w:r>
          </w:p>
        </w:tc>
      </w:tr>
      <w:tr>
        <w:tc>
          <w:tcPr>
            <w:tcW w:w="2653" w:type="dxa"/>
            <w:vAlign w:val="center"/>
          </w:tcPr>
          <w:p>
            <w:pPr>
              <w:spacing w:before="0" w:after="0"/>
              <w:jc w:val="left"/>
            </w:pPr>
            <w:r>
              <w:rPr>
                <w:rFonts w:ascii="Times New Roman" w:eastAsia="Times New Roman" w:hAnsi="Times New Roman" w:cs="Times New Roman"/>
                <w:b/>
                <w:sz w:val="16"/>
              </w:rPr>
              <w:t>C. Aktif (TL/YP Tüm Varlıklar) Toplamı (TL)</w:t>
            </w:r>
          </w:p>
        </w:tc>
        <w:tc>
          <w:tcPr>
            <w:tcW w:w="2653" w:type="dxa"/>
            <w:vAlign w:val="center"/>
          </w:tcPr>
          <w:p>
            <w:pPr>
              <w:spacing w:before="0" w:after="0"/>
              <w:jc w:val="right"/>
            </w:pPr>
            <w:r>
              <w:rPr>
                <w:rFonts w:ascii="Times New Roman" w:eastAsia="Times New Roman" w:hAnsi="Times New Roman" w:cs="Times New Roman"/>
                <w:b w:val="0"/>
                <w:sz w:val="16"/>
              </w:rPr>
              <w:t>0,00</w:t>
            </w:r>
          </w:p>
        </w:tc>
        <w:tc>
          <w:tcPr>
            <w:tcW w:w="2653" w:type="dxa"/>
            <w:vAlign w:val="center"/>
          </w:tcPr>
          <w:p>
            <w:pPr>
              <w:spacing w:before="0" w:after="0"/>
              <w:jc w:val="left"/>
            </w:pPr>
            <w:r>
              <w:rPr>
                <w:rFonts w:ascii="Times New Roman" w:eastAsia="Times New Roman" w:hAnsi="Times New Roman" w:cs="Times New Roman"/>
                <w:b/>
                <w:sz w:val="16"/>
              </w:rPr>
              <w:t>Döviz Pozisyonu Oranı (A / maks{B, C})</w:t>
            </w:r>
          </w:p>
        </w:tc>
        <w:tc>
          <w:tcPr>
            <w:tcW w:w="1061" w:type="dxa"/>
            <w:vAlign w:val="center"/>
          </w:tcPr>
          <w:p>
            <w:pPr>
              <w:spacing w:before="0" w:after="0"/>
              <w:jc w:val="right"/>
            </w:pPr>
            <w:r>
              <w:rPr>
                <w:rFonts w:ascii="Times New Roman" w:eastAsia="Times New Roman" w:hAnsi="Times New Roman" w:cs="Times New Roman"/>
                <w:b w:val="0"/>
                <w:sz w:val="16"/>
              </w:rPr>
              <w:t/>
            </w:r>
          </w:p>
        </w:tc>
      </w:tr>
      <w:tr>
        <w:tc>
          <w:tcPr>
            <w:tcW w:w="2653" w:type="dxa"/>
            <w:vAlign w:val="center"/>
          </w:tcPr>
          <w:p>
            <w:pPr>
              <w:spacing w:before="0" w:after="0"/>
              <w:jc w:val="left"/>
            </w:pPr>
            <w:r>
              <w:rPr>
                <w:rFonts w:ascii="Times New Roman" w:eastAsia="Times New Roman" w:hAnsi="Times New Roman" w:cs="Times New Roman"/>
                <w:b/>
                <w:sz w:val="16"/>
              </w:rPr>
              <w:t>Döviz Pozisyonu Oranının Uygunluğu</w:t>
            </w:r>
          </w:p>
        </w:tc>
        <w:tc>
          <w:tcPr>
            <w:tcW w:w="2653" w:type="dxa"/>
            <w:vAlign w:val="center"/>
          </w:tcPr>
          <w:p>
            <w:pPr>
              <w:spacing w:before="0" w:after="0"/>
              <w:jc w:val="left"/>
            </w:pPr>
            <w:r>
              <w:rPr>
                <w:rFonts w:ascii="Times New Roman" w:eastAsia="Times New Roman" w:hAnsi="Times New Roman" w:cs="Times New Roman"/>
                <w:b w:val="0"/>
                <w:sz w:val="16"/>
              </w:rPr>
              <w:t/>
            </w:r>
          </w:p>
        </w:tc>
        <w:tc>
          <w:tcPr>
            <w:tcW w:w="2653" w:type="dxa"/>
            <w:vAlign w:val="center"/>
          </w:tcPr>
          <w:p>
            <w:pPr>
              <w:spacing w:before="0" w:after="0"/>
              <w:jc w:val="left"/>
            </w:pPr>
            <w:r>
              <w:rPr>
                <w:rFonts w:ascii="Times New Roman" w:eastAsia="Times New Roman" w:hAnsi="Times New Roman" w:cs="Times New Roman"/>
                <w:b w:val="0"/>
                <w:sz w:val="16"/>
              </w:rPr>
              <w:t/>
            </w:r>
          </w:p>
        </w:tc>
        <w:tc>
          <w:tcPr>
            <w:tcW w:w="1061" w:type="dxa"/>
            <w:vAlign w:val="center"/>
          </w:tcPr>
          <w:p>
            <w:pPr>
              <w:spacing w:before="0" w:after="0"/>
              <w:jc w:val="left"/>
            </w:pPr>
            <w:r>
              <w:rPr>
                <w:rFonts w:ascii="Times New Roman" w:eastAsia="Times New Roman" w:hAnsi="Times New Roman" w:cs="Times New Roman"/>
                <w:b w:val="0"/>
                <w:sz w:val="16"/>
              </w:rPr>
              <w:t/>
            </w:r>
          </w:p>
        </w:tc>
      </w:tr>
    </w:tbl>
    <w:p>
      <w:pPr>
        <w:spacing w:before="0" w:after="0"/>
        <w:jc w:val="both"/>
      </w:pPr>
      <w:r>
        <w:rPr>
          <w:rFonts w:ascii="Times New Roman" w:eastAsia="Times New Roman" w:hAnsi="Times New Roman" w:cs="Times New Roman"/>
          <w:b w:val="0"/>
          <w:i w:val="0"/>
          <w:sz w:val="8"/>
        </w:rPr>
        <w:t/>
      </w:r>
    </w:p>
    <w:tbl>
      <w:tblPr>
        <w:tblW w:w="9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020"/>
      </w:tblGrid>
      <w:tr>
        <w:tc>
          <w:tcPr>
            <w:tcW w:w="9020" w:type="dxa"/>
            <w:vAlign w:val="center"/>
          </w:tcPr>
          <w:p>
            <w:pPr>
              <w:spacing w:before="0" w:after="0"/>
              <w:jc w:val="center"/>
            </w:pPr>
            <w:r>
              <w:rPr>
                <w:rFonts w:ascii="Times New Roman" w:eastAsia="Times New Roman" w:hAnsi="Times New Roman" w:cs="Times New Roman"/>
                <w:b w:val="0"/>
                <w:sz w:val="17"/>
              </w:rPr>
              <w:t>Bu formda bildirilen fiziki döviz ve altın kıymetlerini form düzenleme tarihinde saydığımı, kaydi döviz ve altın varlık ve yükümlülüklerinin form düzenleme tarihindeki bakiyesini hesap ekstresi, senet ve sözleşme gibi belgeler üzerinden tespit ettiğimi ve formdaki tüm bilgileri form açıklamalarına uygun olarak doğru, tam ve eksiksiz olarak doldurduğumu beyan ederim.</w:t>
            </w:r>
          </w:p>
        </w:tc>
      </w:tr>
      <w:tr>
        <w:tc>
          <w:tcPr>
            <w:tcW w:w="9020" w:type="dxa"/>
            <w:vAlign w:val="center"/>
          </w:tcPr>
          <w:p>
            <w:pPr>
              <w:spacing w:before="0" w:after="0"/>
              <w:jc w:val="center"/>
            </w:pPr>
            <w:r>
              <w:rPr>
                <w:rFonts w:ascii="Times New Roman" w:eastAsia="Times New Roman" w:hAnsi="Times New Roman" w:cs="Times New Roman"/>
                <w:b w:val="0"/>
                <w:sz w:val="17"/>
              </w:rPr>
              <w:t>SMMM/YMM imzası ve kaşesi</w:t>
            </w:r>
          </w:p>
        </w:tc>
      </w:tr>
      <w:tr>
        <w:tc>
          <w:tcPr>
            <w:tcW w:w="9020" w:type="dxa"/>
            <w:vAlign w:val="center"/>
          </w:tcPr>
          <w:p>
            <w:pPr>
              <w:spacing w:before="0" w:after="0"/>
              <w:jc w:val="center"/>
            </w:pPr>
            <w:r>
              <w:rPr>
                <w:rFonts w:ascii="Times New Roman" w:eastAsia="Times New Roman" w:hAnsi="Times New Roman" w:cs="Times New Roman"/>
                <w:b w:val="0"/>
                <w:sz w:val="17"/>
              </w:rPr>
              <w:t>Ad soyad</w:t>
            </w:r>
          </w:p>
        </w:tc>
      </w:tr>
      <w:tr>
        <w:tc>
          <w:tcPr>
            <w:tcW w:w="9020" w:type="dxa"/>
            <w:vAlign w:val="center"/>
          </w:tcPr>
          <w:p>
            <w:pPr>
              <w:spacing w:before="0" w:after="0"/>
              <w:jc w:val="center"/>
            </w:pPr>
            <w:r>
              <w:rPr>
                <w:rFonts w:ascii="Times New Roman" w:eastAsia="Times New Roman" w:hAnsi="Times New Roman" w:cs="Times New Roman"/>
                <w:b w:val="0"/>
                <w:sz w:val="17"/>
              </w:rPr>
              <w:t>YMM/SMMM</w:t>
            </w:r>
          </w:p>
        </w:tc>
      </w:tr>
      <w:tr>
        <w:tc>
          <w:tcPr>
            <w:tcW w:w="9020" w:type="dxa"/>
            <w:vAlign w:val="center"/>
          </w:tcPr>
          <w:p>
            <w:pPr>
              <w:spacing w:before="0" w:after="0"/>
              <w:jc w:val="center"/>
            </w:pPr>
            <w:r>
              <w:rPr>
                <w:rFonts w:ascii="Times New Roman" w:eastAsia="Times New Roman" w:hAnsi="Times New Roman" w:cs="Times New Roman"/>
                <w:b w:val="0"/>
                <w:sz w:val="17"/>
              </w:rPr>
              <w:t>Bu formda yer alan firmamıza ait bilgilerin Türkiye Cumhuriyet Merkez Bankası ve aracı banka ile paylaşılmasına izin verdiğimizi, doğru, tam ve eksiksiz olduğunu beyan ederiz.</w:t>
            </w:r>
          </w:p>
        </w:tc>
      </w:tr>
      <w:tr>
        <w:tc>
          <w:tcPr>
            <w:tcW w:w="9020" w:type="dxa"/>
            <w:vAlign w:val="center"/>
          </w:tcPr>
          <w:p>
            <w:pPr>
              <w:spacing w:before="0" w:after="0"/>
              <w:jc w:val="center"/>
            </w:pPr>
            <w:r>
              <w:rPr>
                <w:rFonts w:ascii="Times New Roman" w:eastAsia="Times New Roman" w:hAnsi="Times New Roman" w:cs="Times New Roman"/>
                <w:b w:val="0"/>
                <w:sz w:val="17"/>
              </w:rPr>
              <w:t/>
            </w:r>
          </w:p>
        </w:tc>
      </w:tr>
      <w:tr>
        <w:tc>
          <w:tcPr>
            <w:tcW w:w="9020" w:type="dxa"/>
            <w:vAlign w:val="center"/>
          </w:tcPr>
          <w:p>
            <w:pPr>
              <w:spacing w:before="0" w:after="0"/>
              <w:jc w:val="center"/>
            </w:pPr>
            <w:r>
              <w:rPr>
                <w:rFonts w:ascii="Times New Roman" w:eastAsia="Times New Roman" w:hAnsi="Times New Roman" w:cs="Times New Roman"/>
                <w:b w:val="0"/>
                <w:sz w:val="17"/>
              </w:rPr>
              <w:t>Genel Müdür imzası ve kaşesi                                        Finans Müdürü imzası ve kaşesi</w:t>
            </w:r>
          </w:p>
        </w:tc>
      </w:tr>
    </w:tbl>
    <w:p>
      <w:pPr>
        <w:spacing w:before="0" w:after="0"/>
        <w:jc w:val="both"/>
      </w:pPr>
      <w:r>
        <w:rPr>
          <w:rFonts w:ascii="Times New Roman" w:eastAsia="Times New Roman" w:hAnsi="Times New Roman" w:cs="Times New Roman"/>
          <w:b w:val="0"/>
          <w:i w:val="0"/>
          <w:sz w:val="8"/>
        </w:rPr>
        <w:t/>
      </w:r>
    </w:p>
    <w:p>
      <w:pPr>
        <w:spacing w:before="0" w:after="0"/>
        <w:jc w:val="left"/>
      </w:pPr>
      <w:r>
        <w:rPr>
          <w:rFonts w:ascii="Times New Roman" w:eastAsia="Times New Roman" w:hAnsi="Times New Roman" w:cs="Times New Roman"/>
          <w:b w:val="0"/>
          <w:i w:val="0"/>
          <w:sz w:val="17"/>
        </w:rPr>
        <w:t>EK: SMMM veya YMM’nin bağlı olduğu meslek odasından çalışanlar listesinde kayıtlı olduğu gösteren “Faaliyet Belgesi”</w:t>
      </w:r>
    </w:p>
    <w:sectPr>
      <w:pgSz w:w="11906" w:h="16838"/>
      <w:pgMar w:top="720" w:right="840" w:bottom="720" w:left="840" w:header="851" w:footer="992" w:gutter="0"/>
      <w:cols w:space="425"/>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val="0"/>
  <w:bordersDoNotSurroundFooter w:val="0"/>
  <w:defaultTabStop w:val="420"/>
  <w:drawingGridVerticalSpacing w:val="156"/>
  <w:displayHorizontalDrawingGridEvery w:val="0"/>
  <w:displayVerticalDrawingGridEvery w:val="2"/>
  <w:characterSpacingControl w:val="compressPunctuation"/>
  <w:compat>
    <w:spaceForUL w:val="0"/>
    <w:balanceSingleByteDoubleByteWidth w:val="0"/>
    <w:doNotLeaveBackslashAlone w:val="0"/>
    <w:ulTrailSpace w:val="0"/>
    <w:doNotExpandShiftReturn w:val="0"/>
    <w:adjustLineHeightInTable w:val="0"/>
    <w:useFELayout w:val="0"/>
  </w:compat>
  <w:rsids/>
  <m:mathPr>
    <m:mathFont m:val="Cambria Math"/>
    <m:brkBin m:val="before"/>
    <m:brkBinSub m:val="--"/>
    <m:smallFrac m:val="0"/>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s>
</file>

<file path=docProps/app.xml><?xml version="1.0" encoding="utf-8"?>
<Properties xmlns:vt="http://schemas.openxmlformats.org/officeDocument/2006/docPropsVTypes" xmlns="http://schemas.openxmlformats.org/officeDocument/2006/extended-properties">
  <Application>NPOI</Application>
</Properties>
</file>

<file path=docProps/core.xml><?xml version="1.0" encoding="utf-8"?>
<coreProperties xmlns:cp="http://schemas.openxmlformats.org/package/2006/metadata/core-properties" xmlns:dc="http://purl.org/dc/elements/1.1/" xmlns:dcterms="http://purl.org/dc/terms/" xmlns:xsi="http://www.w3.org/2001/XMLSchema-instance" xmlns="http://schemas.openxmlformats.org/package/2006/metadata/core-properties">
  <dcterms:created xsi:type="dcterms:W3CDTF">2026-11-02T21:59:44Z</dcterms:created>
  <dc:creator>NPOI</dc:creator>
</coreProperties>
</file>

<file path=docProps/custom.xml><?xml version="1.0" encoding="utf-8"?>
<Properties xmlns="http://schemas.openxmlformats.org/officeDocument/2006/custom-properties">
  <property fmtid="{D5CDD505-2E9C-101B-9397-08002B2CF9AE}" pid="2" name="Generator">
    <lpwstr xmlns="http://schemas.openxmlformats.org/officeDocument/2006/docPropsVTypes">NPOI</lpwstr>
  </property>
  <property fmtid="{D5CDD505-2E9C-101B-9397-08002B2CF9AE}" pid="3" name="Generator Version">
    <lpwstr xmlns="http://schemas.openxmlformats.org/officeDocument/2006/docPropsVTypes">2.7.4</lpwstr>
  </property>
</Properties>
</file>