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0" w:after="40"/>
        <w:jc w:val="center"/>
      </w:pPr>
      <w:r>
        <w:rPr>
          <w:rFonts w:ascii="Times New Roman" w:eastAsia="Times New Roman" w:hAnsi="Times New Roman" w:cs="Times New Roman"/>
          <w:b/>
          <w:i w:val="0"/>
          <w:sz w:val="24"/>
        </w:rPr>
        <w:t>FAALİYET KÂRI TEVSİK TABLOSU VE DÖVİZ POZİSYONU ÇALIŞMA TABLOSU</w:t>
      </w:r>
    </w:p>
    <w:p>
      <w:pPr>
        <w:spacing w:before="0" w:after="160"/>
        <w:jc w:val="center"/>
      </w:pPr>
      <w:r>
        <w:rPr>
          <w:rFonts w:ascii="Times New Roman" w:eastAsia="Times New Roman" w:hAnsi="Times New Roman" w:cs="Times New Roman"/>
          <w:b w:val="0"/>
          <w:i w:val="0"/>
          <w:sz w:val="18"/>
        </w:rPr>
        <w:t>(TCMB Firmaların Yurt Dışı Kaynaklı Dövizlerinin Türk Lirasına Dönüşümünün Desteklenmesi Hakkında Tebliğe İlişkin Uygulama Talimatı, 1 Ekim 2026)</w:t>
      </w:r>
    </w:p>
    <w:tbl>
      <w:tblPr>
        <w:tblW w:w="90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510"/>
        <w:gridCol w:w="4510"/>
      </w:tblGrid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Firma Ünvanı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Örnek Sanayi ve Dış Ticaret A.Ş.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VKN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8887776665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Form düzenleme tarihi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03/11/2026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Form geçerlilik sonu (Madde 5/4: 15 gün)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18/11/2026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Azami döviz dönüşüm desteği (Madde 5/5; Geçici Madde 4)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25.000.000,00 TL (katsayı 0,25)</w:t>
            </w:r>
          </w:p>
        </w:tc>
      </w:tr>
    </w:tbl>
    <w:p>
      <w:pPr>
        <w:spacing w:before="0" w:after="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12"/>
        </w:rPr>
        <w:t/>
      </w:r>
    </w:p>
    <w:p>
      <w:pPr>
        <w:spacing w:before="0" w:after="40"/>
        <w:jc w:val="left"/>
      </w:pPr>
      <w:r>
        <w:rPr>
          <w:rFonts w:ascii="Times New Roman" w:eastAsia="Times New Roman" w:hAnsi="Times New Roman" w:cs="Times New Roman"/>
          <w:b/>
          <w:i w:val="0"/>
          <w:sz w:val="22"/>
        </w:rPr>
        <w:t>1. Döviz ve Altın Varlıklarının TL Karşılığı (Açıklama 3)</w:t>
      </w:r>
    </w:p>
    <w:p>
      <w:pPr>
        <w:spacing w:before="0" w:after="8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18"/>
        </w:rPr>
        <w:t>Döviz varlıkları TCMB tarafından içinde bulunulan yılın ilk iş günü ilan edilen döviz alış kurları; altın varlıkları Borsa İstanbul tarafından içinde bulunulan yılın ilk iş günü ilan edilen altın fiyatları üzerinden hesaplanır.</w:t>
      </w:r>
    </w:p>
    <w:p>
      <w:pPr>
        <w:spacing w:before="0" w:after="80"/>
        <w:jc w:val="both"/>
      </w:pPr>
      <w:r>
        <w:rPr>
          <w:rFonts w:ascii="Times New Roman" w:eastAsia="Times New Roman" w:hAnsi="Times New Roman" w:cs="Times New Roman"/>
          <w:b w:val="0"/>
          <w:i/>
          <w:sz w:val="18"/>
        </w:rPr>
        <w:t>Kur tablosuna satır girilmemiştir; EK: C tutarları doğrudan TL karşılığı olarak girilmiştir.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12"/>
        </w:rPr>
        <w:t/>
      </w:r>
    </w:p>
    <w:p>
      <w:pPr>
        <w:spacing w:before="0" w:after="40"/>
        <w:jc w:val="left"/>
      </w:pPr>
      <w:r>
        <w:rPr>
          <w:rFonts w:ascii="Times New Roman" w:eastAsia="Times New Roman" w:hAnsi="Times New Roman" w:cs="Times New Roman"/>
          <w:b/>
          <w:i w:val="0"/>
          <w:sz w:val="22"/>
        </w:rPr>
        <w:t>2. Döviz Pozisyonu Oranı (EK: C)</w:t>
      </w:r>
    </w:p>
    <w:tbl>
      <w:tblPr>
        <w:tblW w:w="90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510"/>
        <w:gridCol w:w="4510"/>
      </w:tblGrid>
      <w:tr>
        <w:tc>
          <w:tcPr>
            <w:tcW w:w="4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Kalem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TL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1.1. Kasa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0,00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1.2. Alınan Çekler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0,00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1.3. Bankalar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0,00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   1.3.1. Yurt İçi Mevduat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0,00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   1.3.2. Yurt Dışı Mevduat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0,00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1.4. Verilen Çekler ve Ödeme Emirleri (−)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0,00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1.5. Diğer Hazır Değerler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0,00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1.6. Menkul Kıymetler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0,00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1.8. Ortak, İştirak ve Bağlı Ortaklıklardan Alacaklar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0,00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A. Hazır Döviz Varlıkları Toplamı (1.1 + 1.2 + 1.3 − 1.4 + 1.5 + 1.6 + 1.8)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0,00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B. Net Satış Hasılatı (TL)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0,00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C. Aktif (TL/YP Tüm Varlıklar) Toplamı (TL)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0,00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maks{B, C}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0,00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Döviz Pozisyonu Oranı (A / maks{B, C})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Hesaplanamaz</w:t>
            </w:r>
          </w:p>
        </w:tc>
      </w:tr>
      <w:tr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>Uygunluğu (sınır %10)</w:t>
            </w:r>
          </w:p>
        </w:tc>
        <w:tc>
          <w:tcPr>
            <w:tcW w:w="451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Times New Roman" w:eastAsia="Times New Roman" w:hAnsi="Times New Roman" w:cs="Times New Roman"/>
                <w:b w:val="0"/>
                <w:sz w:val="19"/>
              </w:rPr>
              <w:t>Hesaplanamaz (net satış hasılatı ve aktif toplamı sıfır)</w:t>
            </w:r>
          </w:p>
        </w:tc>
      </w:tr>
    </w:tbl>
    <w:p>
      <w:pPr>
        <w:spacing w:before="0" w:after="80"/>
        <w:jc w:val="both"/>
      </w:pPr>
      <w:r>
        <w:rPr>
          <w:rFonts w:ascii="Times New Roman" w:eastAsia="Times New Roman" w:hAnsi="Times New Roman" w:cs="Times New Roman"/>
          <w:b w:val="0"/>
          <w:i/>
          <w:sz w:val="17"/>
        </w:rPr>
        <w:t>B ve C kaynağı: Kullanıcı girişi. Açıklama 6: aktif toplamı GİB’e verilen yıllık beyannamelerde raporlanan en güncel yıl sonu bilanço aktif tutarı, net satış hasılatı aynı beyannamedeki yıllık net satış hasılatı toplamıdır.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12"/>
        </w:rPr>
        <w:t/>
      </w:r>
    </w:p>
    <w:p>
      <w:pPr>
        <w:spacing w:before="0" w:after="40"/>
        <w:jc w:val="left"/>
      </w:pPr>
      <w:r>
        <w:rPr>
          <w:rFonts w:ascii="Times New Roman" w:eastAsia="Times New Roman" w:hAnsi="Times New Roman" w:cs="Times New Roman"/>
          <w:b/>
          <w:i w:val="0"/>
          <w:sz w:val="22"/>
        </w:rPr>
        <w:t>3. Faaliyet Kârı Tevsik Tablosu (Madde 6/5)</w:t>
      </w:r>
    </w:p>
    <w:p>
      <w:pPr>
        <w:spacing w:before="0" w:after="80"/>
        <w:jc w:val="both"/>
      </w:pPr>
      <w:r>
        <w:rPr>
          <w:rFonts w:ascii="Times New Roman" w:eastAsia="Times New Roman" w:hAnsi="Times New Roman" w:cs="Times New Roman"/>
          <w:b w:val="0"/>
          <w:i/>
          <w:sz w:val="18"/>
        </w:rPr>
        <w:t>Denetim dosyasında Kurumlar Vergisi Beyannamesi bulunamadığından gelir tablosu tutarları gösterilemedi.</w:t>
      </w:r>
    </w:p>
    <w:p>
      <w:pPr>
        <w:spacing w:before="0" w:after="80"/>
        <w:jc w:val="both"/>
      </w:pPr>
      <w:r>
        <w:rPr>
          <w:rFonts w:ascii="Times New Roman" w:eastAsia="Times New Roman" w:hAnsi="Times New Roman" w:cs="Times New Roman"/>
          <w:b w:val="0"/>
          <w:i/>
          <w:sz w:val="17"/>
        </w:rPr>
        <w:t>Madde 6/5 uyarınca faaliyet kârı, içinde bulunulan limit kullanım dönemindeki firma satış limiti hesaplamasında kullanılan yıla ait mali verileri içeren e-YMM tam tasdik raporuyla aracı bankaya tevsik edilir ve Merkez Bankasınca e-YMM tam tasdik raporunda tespit edilen faaliyet kârı tutarı dikkate alınır. Bu tablodaki faaliyet kârı, e-YMM tam tasdik raporunda tespit edilen faaliyet kârı ile aynı tutarda olmalıdır. Bu tablo e-YMM tam tasdik raporu yerine geçmez; yalnızca destekleyici çalışma tablosudur.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12"/>
        </w:rPr>
        <w:t/>
      </w:r>
    </w:p>
    <w:p>
      <w:pPr>
        <w:spacing w:before="0" w:after="40"/>
        <w:jc w:val="left"/>
      </w:pPr>
      <w:r>
        <w:rPr>
          <w:rFonts w:ascii="Times New Roman" w:eastAsia="Times New Roman" w:hAnsi="Times New Roman" w:cs="Times New Roman"/>
          <w:b/>
          <w:i w:val="0"/>
          <w:sz w:val="22"/>
        </w:rPr>
        <w:t>4. Bilgi Notu</w:t>
      </w:r>
    </w:p>
    <w:p>
      <w:pPr>
        <w:spacing w:before="0" w:after="40"/>
        <w:ind w:left="20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18"/>
        </w:rPr>
        <w:t>•   Limit kullanım dönemi takvim yılıdır (Madde 3/1-j); kullanılmayan firma satış limiti izleyen döneme devredilmez (Madde 6/1).</w:t>
      </w:r>
    </w:p>
    <w:p>
      <w:pPr>
        <w:spacing w:before="0" w:after="40"/>
        <w:ind w:left="20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18"/>
        </w:rPr>
        <w:t>•   Bir limit kullanım döneminde yararlanılabilecek azami döviz dönüşüm desteği 100.000.000 TL’dir (Madde 5/5).</w:t>
      </w:r>
    </w:p>
    <w:p>
      <w:pPr>
        <w:spacing w:before="0" w:after="40"/>
        <w:ind w:left="20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18"/>
        </w:rPr>
        <w:t>•   1/10/2026–31/12/2026 kıst döneminde firma satış limiti ve azami destek tutarı 0,25 katsayısıyla uygulanır (azami 25.000.000 TL); 1/10/2026 öncesi satışlar ve destekler bu limitte dikkate alınmaz (Geçici Madde 4).</w:t>
      </w:r>
    </w:p>
    <w:p>
      <w:pPr>
        <w:spacing w:before="0" w:after="40"/>
        <w:ind w:left="20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18"/>
        </w:rPr>
        <w:t>•   Döviz pozisyonu oranı %10’u aşan firmalar yararlanamaz; form düzenleme tarihinden itibaren 15 gün geçerlidir ve bu sürede aynı formla birden fazla işlem yapılabilir (Madde 5/4).</w:t>
      </w:r>
    </w:p>
    <w:p>
      <w:pPr>
        <w:spacing w:before="0" w:after="40"/>
        <w:ind w:left="200"/>
        <w:jc w:val="both"/>
      </w:pPr>
      <w:r>
        <w:rPr>
          <w:rFonts w:ascii="Times New Roman" w:eastAsia="Times New Roman" w:hAnsi="Times New Roman" w:cs="Times New Roman"/>
          <w:b w:val="0"/>
          <w:i w:val="0"/>
          <w:sz w:val="18"/>
        </w:rPr>
        <w:t>•   Form SMMM veya YMM tarafından hazırlanır, SMMM/YMM ve firma tarafından onaylanır; ekinde SMMM/YMM’nin meslek odası çalışanlar listesine kayıtlı olduğunu gösteren “Faaliyet Belgesi” bulunması zorunludur. Faaliyet Belgesi aslı ibraz edildikten sonra üç ay içinde aynı SMMM/YMM’nin onayladığı diğer formlar için bu belgenin ibrazı yeterlidir (Madde 7/1).</w:t>
      </w:r>
    </w:p>
    <w:sectPr>
      <w:pgSz w:w="11906" w:h="16838"/>
      <w:pgMar w:top="720" w:right="840" w:bottom="720" w:left="840" w:header="851" w:footer="992" w:gutter="0"/>
      <w:cols w:space="425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2026-11-02T21:59:45Z</dcterms:created>
  <dc:creator>NPOI</dc:creator>
</coreProperties>
</file>

<file path=docProps/custom.xml><?xml version="1.0" encoding="utf-8"?>
<Properties xmlns="http://schemas.openxmlformats.org/officeDocument/2006/custom-properties">
  <property fmtid="{D5CDD505-2E9C-101B-9397-08002B2CF9AE}" pid="2" name="Generator">
    <lpwstr xmlns="http://schemas.openxmlformats.org/officeDocument/2006/docPropsVTypes">NPOI</lpwstr>
  </property>
  <property fmtid="{D5CDD505-2E9C-101B-9397-08002B2CF9AE}" pid="3" name="Generator Version">
    <lpwstr xmlns="http://schemas.openxmlformats.org/officeDocument/2006/docPropsVTypes">2.7.4</lpwstr>
  </property>
</Properties>
</file>