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120"/>
        <w:jc w:val="both"/>
      </w:pPr>
      <w:r>
        <w:rPr>
          <w:rFonts w:ascii="Times New Roman" w:eastAsia="Times New Roman" w:hAnsi="Times New Roman" w:cs="Times New Roman"/>
          <w:b w:val="0"/>
          <w:i w:val="0"/>
          <w:sz w:val="20"/>
        </w:rPr>
        <w:t>RAPOR SAYISI: YMM//2026-KDV-...</w:t>
      </w:r>
    </w:p>
    <w:p>
      <w:pPr>
        <w:spacing w:before="0" w:after="120"/>
        <w:jc w:val="both"/>
      </w:pPr>
      <w:r>
        <w:rPr>
          <w:rFonts w:ascii="Times New Roman" w:eastAsia="Times New Roman" w:hAnsi="Times New Roman" w:cs="Times New Roman"/>
          <w:b w:val="0"/>
          <w:i w:val="0"/>
          <w:sz w:val="20"/>
        </w:rPr>
        <w:t>RAPOR TARİHİ: 8.10.2026</w:t>
      </w:r>
    </w:p>
    <w:p>
      <w:pPr>
        <w:spacing w:before="0" w:after="120"/>
        <w:jc w:val="both"/>
      </w:pPr>
      <w:r>
        <w:rPr>
          <w:rFonts w:ascii="Times New Roman" w:eastAsia="Times New Roman" w:hAnsi="Times New Roman" w:cs="Times New Roman"/>
          <w:b w:val="0"/>
          <w:i w:val="0"/>
          <w:sz w:val="20"/>
        </w:rPr>
        <w:t>RAPOR EKLERİ: Dizi Pusulası ektedir.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YEMİNLİ MALİ MÜŞAVİRLİK KATMA DEĞER VERGİSİ İADESİ TASDİK RAPORU</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YEMİNLİ MALİ MÜŞAVİRİN:</w:t>
      </w:r>
    </w:p>
    <w:p>
      <w:pPr>
        <w:spacing w:before="0" w:after="120"/>
        <w:jc w:val="both"/>
      </w:pPr>
      <w:r>
        <w:rPr>
          <w:rFonts w:ascii="Times New Roman" w:eastAsia="Times New Roman" w:hAnsi="Times New Roman" w:cs="Times New Roman"/>
          <w:b w:val="0"/>
          <w:i w:val="0"/>
          <w:sz w:val="20"/>
        </w:rPr>
        <w:t xml:space="preserve">ADI SOYADI:  </w:t>
      </w:r>
    </w:p>
    <w:p>
      <w:pPr>
        <w:spacing w:before="0" w:after="120"/>
        <w:jc w:val="both"/>
      </w:pPr>
      <w:r>
        <w:rPr>
          <w:rFonts w:ascii="Times New Roman" w:eastAsia="Times New Roman" w:hAnsi="Times New Roman" w:cs="Times New Roman"/>
          <w:b w:val="0"/>
          <w:i w:val="0"/>
          <w:sz w:val="20"/>
        </w:rPr>
        <w:t xml:space="preserve">ÜNVANI: </w:t>
      </w:r>
    </w:p>
    <w:p>
      <w:pPr>
        <w:spacing w:before="0" w:after="120"/>
        <w:jc w:val="both"/>
      </w:pPr>
      <w:r>
        <w:rPr>
          <w:rFonts w:ascii="Times New Roman" w:eastAsia="Times New Roman" w:hAnsi="Times New Roman" w:cs="Times New Roman"/>
          <w:b w:val="0"/>
          <w:i w:val="0"/>
          <w:sz w:val="20"/>
        </w:rPr>
        <w:t xml:space="preserve">BAĞLI OLDUĞU ODA: </w:t>
      </w:r>
    </w:p>
    <w:p>
      <w:pPr>
        <w:spacing w:before="0" w:after="120"/>
        <w:jc w:val="both"/>
      </w:pPr>
      <w:r>
        <w:rPr>
          <w:rFonts w:ascii="Times New Roman" w:eastAsia="Times New Roman" w:hAnsi="Times New Roman" w:cs="Times New Roman"/>
          <w:b w:val="0"/>
          <w:i w:val="0"/>
          <w:sz w:val="20"/>
        </w:rPr>
        <w:t xml:space="preserve">ODA SİCİL NO VE MÜHÜR NO:  ve </w:t>
      </w:r>
    </w:p>
    <w:p>
      <w:pPr>
        <w:spacing w:before="0" w:after="120"/>
        <w:jc w:val="both"/>
      </w:pPr>
      <w:r>
        <w:rPr>
          <w:rFonts w:ascii="Times New Roman" w:eastAsia="Times New Roman" w:hAnsi="Times New Roman" w:cs="Times New Roman"/>
          <w:b w:val="0"/>
          <w:i w:val="0"/>
          <w:sz w:val="20"/>
        </w:rPr>
        <w:t xml:space="preserve">E-POSTA: </w:t>
      </w:r>
    </w:p>
    <w:p>
      <w:pPr>
        <w:spacing w:before="0" w:after="120"/>
        <w:jc w:val="both"/>
      </w:pPr>
      <w:r>
        <w:rPr>
          <w:rFonts w:ascii="Times New Roman" w:eastAsia="Times New Roman" w:hAnsi="Times New Roman" w:cs="Times New Roman"/>
          <w:b w:val="0"/>
          <w:i w:val="0"/>
          <w:sz w:val="20"/>
        </w:rPr>
        <w:t xml:space="preserve">TELEFON NO: </w:t>
      </w:r>
    </w:p>
    <w:p>
      <w:pPr>
        <w:spacing w:before="0" w:after="120"/>
        <w:jc w:val="both"/>
      </w:pPr>
      <w:r>
        <w:rPr>
          <w:rFonts w:ascii="Times New Roman" w:eastAsia="Times New Roman" w:hAnsi="Times New Roman" w:cs="Times New Roman"/>
          <w:b w:val="0"/>
          <w:i w:val="0"/>
          <w:sz w:val="20"/>
        </w:rPr>
        <w:t xml:space="preserve">BÜRO ADRESİ: </w:t>
      </w:r>
    </w:p>
    <w:p>
      <w:pPr>
        <w:spacing w:before="0" w:after="120"/>
        <w:jc w:val="both"/>
      </w:pPr>
      <w:r>
        <w:rPr>
          <w:rFonts w:ascii="Times New Roman" w:eastAsia="Times New Roman" w:hAnsi="Times New Roman" w:cs="Times New Roman"/>
          <w:b w:val="0"/>
          <w:i w:val="0"/>
          <w:sz w:val="20"/>
        </w:rPr>
        <w:t xml:space="preserve">VERGİ DAİRESİ VE VERGİ KİMLİK NO: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DAYANAK SÖZLEŞMESİNİN:</w:t>
      </w:r>
    </w:p>
    <w:p>
      <w:pPr>
        <w:spacing w:before="0" w:after="120"/>
        <w:jc w:val="both"/>
      </w:pPr>
      <w:r>
        <w:rPr>
          <w:rFonts w:ascii="Times New Roman" w:eastAsia="Times New Roman" w:hAnsi="Times New Roman" w:cs="Times New Roman"/>
          <w:b w:val="0"/>
          <w:i w:val="0"/>
          <w:sz w:val="20"/>
        </w:rPr>
        <w:t xml:space="preserve">GÜNÜ: </w:t>
      </w:r>
    </w:p>
    <w:p>
      <w:pPr>
        <w:spacing w:before="0" w:after="120"/>
        <w:jc w:val="both"/>
      </w:pPr>
      <w:r>
        <w:rPr>
          <w:rFonts w:ascii="Times New Roman" w:eastAsia="Times New Roman" w:hAnsi="Times New Roman" w:cs="Times New Roman"/>
          <w:b w:val="0"/>
          <w:i w:val="0"/>
          <w:sz w:val="20"/>
        </w:rPr>
        <w:t xml:space="preserve">SAYISI: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MÜKELLEFİN:</w:t>
      </w:r>
    </w:p>
    <w:p>
      <w:pPr>
        <w:spacing w:before="0" w:after="120"/>
        <w:jc w:val="both"/>
      </w:pPr>
      <w:r>
        <w:rPr>
          <w:rFonts w:ascii="Times New Roman" w:eastAsia="Times New Roman" w:hAnsi="Times New Roman" w:cs="Times New Roman"/>
          <w:b w:val="0"/>
          <w:i w:val="0"/>
          <w:sz w:val="20"/>
        </w:rPr>
        <w:t>ÜNVANI: Örnek İhracat ve Tekstil A.Ş.</w:t>
      </w:r>
    </w:p>
    <w:p>
      <w:pPr>
        <w:spacing w:before="0" w:after="120"/>
        <w:jc w:val="both"/>
      </w:pPr>
      <w:r>
        <w:rPr>
          <w:rFonts w:ascii="Times New Roman" w:eastAsia="Times New Roman" w:hAnsi="Times New Roman" w:cs="Times New Roman"/>
          <w:b w:val="0"/>
          <w:i w:val="0"/>
          <w:sz w:val="20"/>
        </w:rPr>
        <w:t>ADRESİ: ......</w:t>
      </w:r>
    </w:p>
    <w:p>
      <w:pPr>
        <w:spacing w:before="0" w:after="120"/>
        <w:jc w:val="both"/>
      </w:pPr>
      <w:r>
        <w:rPr>
          <w:rFonts w:ascii="Times New Roman" w:eastAsia="Times New Roman" w:hAnsi="Times New Roman" w:cs="Times New Roman"/>
          <w:b w:val="0"/>
          <w:i w:val="0"/>
          <w:sz w:val="20"/>
        </w:rPr>
        <w:t>VERGİ DAİRESİ VE VERGİ KİMLİK NO: Kurgusal V.D. Vergi Dairesi - 9990001112</w:t>
      </w:r>
    </w:p>
    <w:p>
      <w:pPr>
        <w:spacing w:before="0" w:after="120"/>
        <w:jc w:val="both"/>
      </w:pPr>
      <w:r>
        <w:rPr>
          <w:rFonts w:ascii="Times New Roman" w:eastAsia="Times New Roman" w:hAnsi="Times New Roman" w:cs="Times New Roman"/>
          <w:b w:val="0"/>
          <w:i w:val="0"/>
          <w:sz w:val="20"/>
        </w:rPr>
        <w:t>TELEFON NO: ......</w:t>
      </w:r>
    </w:p>
    <w:p>
      <w:pPr>
        <w:spacing w:before="0" w:after="120"/>
        <w:jc w:val="both"/>
      </w:pPr>
      <w:r>
        <w:rPr>
          <w:rFonts w:ascii="Times New Roman" w:eastAsia="Times New Roman" w:hAnsi="Times New Roman" w:cs="Times New Roman"/>
          <w:b w:val="0"/>
          <w:i w:val="0"/>
          <w:sz w:val="20"/>
        </w:rPr>
        <w:t>E-POSTA: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İNCELEME DÖNEMİ: 2025 Yılının Mart Aylık Dönemi</w:t>
      </w:r>
    </w:p>
    <w:p>
      <w:pPr>
        <w:spacing w:before="0" w:after="120"/>
        <w:jc w:val="both"/>
      </w:pPr>
      <w:r>
        <w:rPr>
          <w:rFonts w:ascii="Times New Roman" w:eastAsia="Times New Roman" w:hAnsi="Times New Roman" w:cs="Times New Roman"/>
          <w:b w:val="0"/>
          <w:i w:val="0"/>
          <w:sz w:val="20"/>
        </w:rPr>
        <w:t>İNCELEME KONUSU: Mal İhracından Kaynaklanan Katma Değer Vergisi İadesi</w:t>
      </w:r>
    </w:p>
    <w:p>
      <w:pPr>
        <w:spacing w:before="0" w:after="120"/>
        <w:jc w:val="both"/>
      </w:pPr>
      <w:r>
        <w:rPr>
          <w:rFonts w:ascii="Times New Roman" w:eastAsia="Times New Roman" w:hAnsi="Times New Roman" w:cs="Times New Roman"/>
          <w:b w:val="0"/>
          <w:i w:val="0"/>
          <w:sz w:val="20"/>
        </w:rPr>
        <w:t>SONUÇ: Raporun sonuç bölümünde belirtilmiştir.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i w:val="0"/>
          <w:sz w:val="20"/>
        </w:rPr>
        <w:t>I-GENEL BİLGİ:</w:t>
      </w:r>
    </w:p>
    <w:p>
      <w:pPr>
        <w:spacing w:before="0" w:after="120"/>
        <w:jc w:val="both"/>
      </w:pPr>
      <w:r>
        <w:rPr>
          <w:rFonts w:ascii="Times New Roman" w:eastAsia="Times New Roman" w:hAnsi="Times New Roman" w:cs="Times New Roman"/>
          <w:b w:val="0"/>
          <w:i w:val="0"/>
          <w:sz w:val="20"/>
        </w:rPr>
        <w:t>A. Ticaret Ünvanı, Vergi ve Ticaret Sicil Kaydı:</w:t>
      </w:r>
    </w:p>
    <w:p>
      <w:pPr>
        <w:spacing w:before="0" w:after="120"/>
        <w:jc w:val="both"/>
      </w:pPr>
      <w:r>
        <w:rPr>
          <w:rFonts w:ascii="Times New Roman" w:eastAsia="Times New Roman" w:hAnsi="Times New Roman" w:cs="Times New Roman"/>
          <w:b w:val="0"/>
          <w:i w:val="0"/>
          <w:sz w:val="20"/>
        </w:rPr>
        <w:t>Örnek İhracat ve Tekstil A.Ş., Kurgusal V.D. Müdürlüğünün 9990001112 vergi kimlik numaralı mükellefidir.</w:t>
      </w:r>
    </w:p>
    <w:p>
      <w:pPr>
        <w:spacing w:before="0" w:after="120"/>
        <w:jc w:val="both"/>
      </w:pPr>
      <w:r>
        <w:rPr>
          <w:rFonts w:ascii="Times New Roman" w:eastAsia="Times New Roman" w:hAnsi="Times New Roman" w:cs="Times New Roman"/>
          <w:b w:val="0"/>
          <w:i w:val="0"/>
          <w:sz w:val="20"/>
        </w:rPr>
        <w:t>Mükellef, 2025 Yılının Mart Aylık Dönemine ilişkin Katma Değer Vergisi iadesi talebine ilişkin incelemenin Yeminli Mali Müşavirliğimizce incelenmesi talebinde bulunmuştur. Konu hakkında 3568 sayılı Kanun hükümlerine göre, mükellef ile tarih ve sayılı ‘’Yeminli Mali Müşavirlik Tasdik Sözleşmesi’’ düzenlenmiştir. Düzenlenen sözleşmenin onaylı bir örneği Raporumuz ekinde sunulmuştur.</w:t>
      </w:r>
    </w:p>
    <w:p>
      <w:pPr>
        <w:spacing w:before="0" w:after="120"/>
        <w:jc w:val="both"/>
      </w:pPr>
      <w:r>
        <w:rPr>
          <w:rFonts w:ascii="Times New Roman" w:eastAsia="Times New Roman" w:hAnsi="Times New Roman" w:cs="Times New Roman"/>
          <w:b w:val="0"/>
          <w:i w:val="0"/>
          <w:sz w:val="20"/>
        </w:rPr>
        <w:t>Mükellef kurum, .... tarihinde kurulmuş olup, kuruluşu ...... Ticaret Sicil Müdürlüğü’nce ...... tarih ve ..... sicil numarası ile tescil edilmiştir. Mükellef işletmenin kuruluşu, .... tarih ..... sayılı Türkiye Ticaret Sicil Gazetesi’nde yayınlanmıştır. İşletmenin Ticaret Sicil Gazeteleri raporumuz ekinde sunulmuştur.</w:t>
      </w:r>
    </w:p>
    <w:p>
      <w:pPr>
        <w:spacing w:before="0" w:after="120"/>
        <w:jc w:val="both"/>
      </w:pPr>
      <w:r>
        <w:rPr>
          <w:rFonts w:ascii="Times New Roman" w:eastAsia="Times New Roman" w:hAnsi="Times New Roman" w:cs="Times New Roman"/>
          <w:b w:val="0"/>
          <w:i w:val="0"/>
          <w:sz w:val="20"/>
        </w:rPr>
        <w:t>Mükellef işletme, .... Ticaret Sicil Müdürlüğü ..... sicil numaralı üyesidir. Mükellef işletmenin Oda Sicil Kayıt Sureti raporumuz ekinde sunulmuştur.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B. Hukuki Dayanak:</w:t>
      </w:r>
    </w:p>
    <w:p>
      <w:pPr>
        <w:spacing w:before="0" w:after="120"/>
        <w:jc w:val="both"/>
      </w:pPr>
      <w:r>
        <w:rPr>
          <w:rFonts w:ascii="Times New Roman" w:eastAsia="Times New Roman" w:hAnsi="Times New Roman" w:cs="Times New Roman"/>
          <w:b w:val="0"/>
          <w:i w:val="0"/>
          <w:sz w:val="20"/>
        </w:rPr>
        <w:t>Kurumun, 2025 Yılının Mart Aylık Dönemine ilişkin KDV hesaplarının, 3065 sayılı K.D.V. Kanunu’nun 11 ve 32’inci maddeleri ile konu hakkındaki mevzuat hükümleri gereğince incelenmesi neticesinde Raporumuz düzenlenmiştir.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C. Firmanın İş Merkezleri, Şubeleri ve Faaliyet Konularına İlişkin Bilgiler:</w:t>
      </w:r>
    </w:p>
    <w:p>
      <w:pPr>
        <w:spacing w:before="0" w:after="120"/>
        <w:jc w:val="both"/>
      </w:pPr>
      <w:r>
        <w:rPr>
          <w:rFonts w:ascii="Times New Roman" w:eastAsia="Times New Roman" w:hAnsi="Times New Roman" w:cs="Times New Roman"/>
          <w:b w:val="0"/>
          <w:i w:val="0"/>
          <w:sz w:val="20"/>
        </w:rPr>
        <w:t>Mükellef, ..... alımı, satımı, ithalatı ve ihracatını yapmak, ......hizmetleri vermek, .......ve ana sözleşmede yer alan diğer işler ile iştigal etmektedir.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4510"/>
        <w:gridCol w:w="4510"/>
      </w:tblGrid>
      <w:tr>
        <w:tc>
          <w:tcPr>
            <w:tcW w:w="4510" w:type="dxa"/>
            <w:vAlign w:val="top"/>
          </w:tcPr>
          <w:p>
            <w:pPr>
              <w:spacing w:before="0" w:after="0"/>
              <w:jc w:val="left"/>
            </w:pPr>
            <w:r>
              <w:rPr>
                <w:rFonts w:ascii="Times New Roman" w:eastAsia="Times New Roman" w:hAnsi="Times New Roman" w:cs="Times New Roman"/>
                <w:b w:val="0"/>
                <w:sz w:val="20"/>
              </w:rPr>
              <w:t>Nev’i</w:t>
            </w:r>
          </w:p>
        </w:tc>
        <w:tc>
          <w:tcPr>
            <w:tcW w:w="4510" w:type="dxa"/>
            <w:vAlign w:val="top"/>
          </w:tcPr>
          <w:p>
            <w:pPr>
              <w:spacing w:before="0" w:after="0"/>
              <w:jc w:val="left"/>
            </w:pPr>
            <w:r>
              <w:rPr>
                <w:rFonts w:ascii="Times New Roman" w:eastAsia="Times New Roman" w:hAnsi="Times New Roman" w:cs="Times New Roman"/>
                <w:b w:val="0"/>
                <w:sz w:val="20"/>
              </w:rPr>
              <w:t>Adresi</w:t>
            </w:r>
          </w:p>
        </w:tc>
      </w:tr>
      <w:tr>
        <w:tc>
          <w:tcPr>
            <w:tcW w:w="4510" w:type="dxa"/>
            <w:vAlign w:val="top"/>
          </w:tcPr>
          <w:p>
            <w:pPr>
              <w:spacing w:before="0" w:after="0"/>
              <w:jc w:val="left"/>
            </w:pPr>
            <w:r>
              <w:rPr>
                <w:rFonts w:ascii="Times New Roman" w:eastAsia="Times New Roman" w:hAnsi="Times New Roman" w:cs="Times New Roman"/>
                <w:b w:val="0"/>
                <w:sz w:val="20"/>
              </w:rPr>
              <w:t>Merkez</w:t>
            </w:r>
          </w:p>
        </w:tc>
        <w:tc>
          <w:tcPr>
            <w:tcW w:w="4510" w:type="dxa"/>
            <w:vAlign w:val="top"/>
          </w:tcPr>
          <w:p>
            <w:pPr>
              <w:spacing w:before="0" w:after="0"/>
              <w:jc w:val="left"/>
            </w:pPr>
            <w:r>
              <w:rPr>
                <w:rFonts w:ascii="Times New Roman" w:eastAsia="Times New Roman" w:hAnsi="Times New Roman" w:cs="Times New Roman"/>
                <w:b w:val="0"/>
                <w:sz w:val="20"/>
              </w:rPr>
              <w:t/>
            </w:r>
          </w:p>
        </w:tc>
      </w:tr>
      <w:tr>
        <w:tc>
          <w:tcPr>
            <w:tcW w:w="4510" w:type="dxa"/>
            <w:vAlign w:val="top"/>
          </w:tcPr>
          <w:p>
            <w:pPr>
              <w:spacing w:before="0" w:after="0"/>
              <w:jc w:val="left"/>
            </w:pPr>
            <w:r>
              <w:rPr>
                <w:rFonts w:ascii="Times New Roman" w:eastAsia="Times New Roman" w:hAnsi="Times New Roman" w:cs="Times New Roman"/>
                <w:b w:val="0"/>
                <w:sz w:val="20"/>
              </w:rPr>
              <w:t>Şube</w:t>
            </w:r>
          </w:p>
        </w:tc>
        <w:tc>
          <w:tcPr>
            <w:tcW w:w="4510" w:type="dxa"/>
            <w:vAlign w:val="top"/>
          </w:tcPr>
          <w:p>
            <w:pPr>
              <w:spacing w:before="0" w:after="0"/>
              <w:jc w:val="left"/>
            </w:pPr>
            <w:r>
              <w:rPr>
                <w:rFonts w:ascii="Times New Roman" w:eastAsia="Times New Roman" w:hAnsi="Times New Roman" w:cs="Times New Roman"/>
                <w:b w:val="0"/>
                <w:sz w:val="20"/>
              </w:rPr>
              <w:t/>
            </w:r>
          </w:p>
        </w:tc>
      </w:tr>
      <w:tr>
        <w:tc>
          <w:tcPr>
            <w:tcW w:w="4510" w:type="dxa"/>
            <w:vAlign w:val="top"/>
          </w:tcPr>
          <w:p>
            <w:pPr>
              <w:spacing w:before="0" w:after="0"/>
              <w:jc w:val="left"/>
            </w:pPr>
            <w:r>
              <w:rPr>
                <w:rFonts w:ascii="Times New Roman" w:eastAsia="Times New Roman" w:hAnsi="Times New Roman" w:cs="Times New Roman"/>
                <w:b w:val="0"/>
                <w:sz w:val="20"/>
              </w:rPr>
              <w:t>Depo</w:t>
            </w:r>
          </w:p>
        </w:tc>
        <w:tc>
          <w:tcPr>
            <w:tcW w:w="4510"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D. Mükellef İşletme Ortağının Ad ve Soyadı ile Adreslerine İlişkin Bilgiler:</w:t>
      </w:r>
    </w:p>
    <w:p>
      <w:pPr>
        <w:spacing w:before="0" w:after="120"/>
        <w:jc w:val="both"/>
      </w:pPr>
      <w:r>
        <w:rPr>
          <w:rFonts w:ascii="Times New Roman" w:eastAsia="Times New Roman" w:hAnsi="Times New Roman" w:cs="Times New Roman"/>
          <w:b w:val="0"/>
          <w:i w:val="0"/>
          <w:sz w:val="20"/>
        </w:rPr>
        <w:t>Mükellef işletme ortağının ad ve soyadı, ikametgah adresi, bağlı bulunduğu vergi dairesi ve vergi numarasına ilişkin bilgiler aşağıdaki tabloda gösterilmiştir.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2057"/>
        <w:gridCol w:w="2532"/>
        <w:gridCol w:w="4431"/>
      </w:tblGrid>
      <w:tr>
        <w:tc>
          <w:tcPr>
            <w:tcW w:w="2057" w:type="dxa"/>
            <w:vAlign w:val="top"/>
          </w:tcPr>
          <w:p>
            <w:pPr>
              <w:spacing w:before="0" w:after="0"/>
              <w:jc w:val="left"/>
            </w:pPr>
            <w:r>
              <w:rPr>
                <w:rFonts w:ascii="Times New Roman" w:eastAsia="Times New Roman" w:hAnsi="Times New Roman" w:cs="Times New Roman"/>
                <w:b w:val="0"/>
                <w:sz w:val="20"/>
              </w:rPr>
              <w:t>Adı ve Soyadı</w:t>
            </w:r>
          </w:p>
        </w:tc>
        <w:tc>
          <w:tcPr>
            <w:tcW w:w="2532" w:type="dxa"/>
            <w:vAlign w:val="top"/>
          </w:tcPr>
          <w:p>
            <w:pPr>
              <w:spacing w:before="0" w:after="0"/>
              <w:jc w:val="left"/>
            </w:pPr>
            <w:r>
              <w:rPr>
                <w:rFonts w:ascii="Times New Roman" w:eastAsia="Times New Roman" w:hAnsi="Times New Roman" w:cs="Times New Roman"/>
                <w:b w:val="0"/>
                <w:sz w:val="20"/>
              </w:rPr>
              <w:t>İkametgah Adresi</w:t>
            </w:r>
          </w:p>
        </w:tc>
        <w:tc>
          <w:tcPr>
            <w:tcW w:w="4431" w:type="dxa"/>
            <w:vAlign w:val="top"/>
          </w:tcPr>
          <w:p>
            <w:pPr>
              <w:spacing w:before="0" w:after="0"/>
              <w:jc w:val="left"/>
            </w:pPr>
            <w:r>
              <w:rPr>
                <w:rFonts w:ascii="Times New Roman" w:eastAsia="Times New Roman" w:hAnsi="Times New Roman" w:cs="Times New Roman"/>
                <w:b w:val="0"/>
                <w:sz w:val="20"/>
              </w:rPr>
              <w:t>Vergi Kimlik No/TC Kimlik No</w:t>
            </w:r>
          </w:p>
        </w:tc>
      </w:tr>
      <w:tr>
        <w:tc>
          <w:tcPr>
            <w:tcW w:w="2057" w:type="dxa"/>
            <w:vAlign w:val="top"/>
          </w:tcPr>
          <w:p>
            <w:pPr>
              <w:spacing w:before="0" w:after="0"/>
              <w:jc w:val="left"/>
            </w:pPr>
            <w:r>
              <w:rPr>
                <w:rFonts w:ascii="Times New Roman" w:eastAsia="Times New Roman" w:hAnsi="Times New Roman" w:cs="Times New Roman"/>
                <w:b w:val="0"/>
                <w:sz w:val="20"/>
              </w:rPr>
              <w:t/>
            </w:r>
          </w:p>
        </w:tc>
        <w:tc>
          <w:tcPr>
            <w:tcW w:w="2532" w:type="dxa"/>
            <w:vAlign w:val="top"/>
          </w:tcPr>
          <w:p>
            <w:pPr>
              <w:spacing w:before="0" w:after="0"/>
              <w:jc w:val="left"/>
            </w:pPr>
            <w:r>
              <w:rPr>
                <w:rFonts w:ascii="Times New Roman" w:eastAsia="Times New Roman" w:hAnsi="Times New Roman" w:cs="Times New Roman"/>
                <w:b w:val="0"/>
                <w:sz w:val="20"/>
              </w:rPr>
              <w:t/>
            </w:r>
          </w:p>
        </w:tc>
        <w:tc>
          <w:tcPr>
            <w:tcW w:w="4431" w:type="dxa"/>
            <w:vAlign w:val="top"/>
          </w:tcPr>
          <w:p>
            <w:pPr>
              <w:spacing w:before="0" w:after="0"/>
              <w:jc w:val="left"/>
            </w:pPr>
            <w:r>
              <w:rPr>
                <w:rFonts w:ascii="Times New Roman" w:eastAsia="Times New Roman" w:hAnsi="Times New Roman" w:cs="Times New Roman"/>
                <w:b w:val="0"/>
                <w:sz w:val="20"/>
              </w:rPr>
              <w:t/>
            </w:r>
          </w:p>
        </w:tc>
      </w:tr>
      <w:tr>
        <w:tc>
          <w:tcPr>
            <w:tcW w:w="2057" w:type="dxa"/>
            <w:vAlign w:val="top"/>
          </w:tcPr>
          <w:p>
            <w:pPr>
              <w:spacing w:before="0" w:after="0"/>
              <w:jc w:val="left"/>
            </w:pPr>
            <w:r>
              <w:rPr>
                <w:rFonts w:ascii="Times New Roman" w:eastAsia="Times New Roman" w:hAnsi="Times New Roman" w:cs="Times New Roman"/>
                <w:b w:val="0"/>
                <w:sz w:val="20"/>
              </w:rPr>
              <w:t/>
            </w:r>
          </w:p>
        </w:tc>
        <w:tc>
          <w:tcPr>
            <w:tcW w:w="2532" w:type="dxa"/>
            <w:vAlign w:val="top"/>
          </w:tcPr>
          <w:p>
            <w:pPr>
              <w:spacing w:before="0" w:after="0"/>
              <w:jc w:val="left"/>
            </w:pPr>
            <w:r>
              <w:rPr>
                <w:rFonts w:ascii="Times New Roman" w:eastAsia="Times New Roman" w:hAnsi="Times New Roman" w:cs="Times New Roman"/>
                <w:b w:val="0"/>
                <w:sz w:val="20"/>
              </w:rPr>
              <w:t/>
            </w:r>
          </w:p>
        </w:tc>
        <w:tc>
          <w:tcPr>
            <w:tcW w:w="4431" w:type="dxa"/>
            <w:vAlign w:val="top"/>
          </w:tcPr>
          <w:p>
            <w:pPr>
              <w:spacing w:before="0" w:after="0"/>
              <w:jc w:val="left"/>
            </w:pPr>
            <w:r>
              <w:rPr>
                <w:rFonts w:ascii="Times New Roman" w:eastAsia="Times New Roman" w:hAnsi="Times New Roman" w:cs="Times New Roman"/>
                <w:b w:val="0"/>
                <w:sz w:val="20"/>
              </w:rPr>
              <w:t/>
            </w:r>
          </w:p>
        </w:tc>
      </w:tr>
      <w:tr>
        <w:tc>
          <w:tcPr>
            <w:tcW w:w="2057" w:type="dxa"/>
            <w:vAlign w:val="top"/>
          </w:tcPr>
          <w:p>
            <w:pPr>
              <w:spacing w:before="0" w:after="0"/>
              <w:jc w:val="left"/>
            </w:pPr>
            <w:r>
              <w:rPr>
                <w:rFonts w:ascii="Times New Roman" w:eastAsia="Times New Roman" w:hAnsi="Times New Roman" w:cs="Times New Roman"/>
                <w:b w:val="0"/>
                <w:sz w:val="20"/>
              </w:rPr>
              <w:t/>
            </w:r>
          </w:p>
        </w:tc>
        <w:tc>
          <w:tcPr>
            <w:tcW w:w="2532" w:type="dxa"/>
            <w:vAlign w:val="top"/>
          </w:tcPr>
          <w:p>
            <w:pPr>
              <w:spacing w:before="0" w:after="0"/>
              <w:jc w:val="left"/>
            </w:pPr>
            <w:r>
              <w:rPr>
                <w:rFonts w:ascii="Times New Roman" w:eastAsia="Times New Roman" w:hAnsi="Times New Roman" w:cs="Times New Roman"/>
                <w:b w:val="0"/>
                <w:sz w:val="20"/>
              </w:rPr>
              <w:t/>
            </w:r>
          </w:p>
        </w:tc>
        <w:tc>
          <w:tcPr>
            <w:tcW w:w="4431"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r>
        <w:rPr>
          <w:rFonts w:ascii="Times New Roman" w:eastAsia="Times New Roman" w:hAnsi="Times New Roman" w:cs="Times New Roman"/>
          <w:b w:val="0"/>
          <w:i w:val="0"/>
          <w:sz w:val="20"/>
        </w:rPr>
        <w:t xml:space="preserve">Mükellef işletme ortağının nüfus ve yerleşim yeri belgesi raporumuz ekinde sunulmuştur. </w:t>
      </w:r>
    </w:p>
    <w:p>
      <w:pPr>
        <w:spacing w:before="0" w:after="120"/>
        <w:jc w:val="both"/>
      </w:pPr>
      <w:r>
        <w:rPr>
          <w:rFonts w:ascii="Times New Roman" w:eastAsia="Times New Roman" w:hAnsi="Times New Roman" w:cs="Times New Roman"/>
          <w:b w:val="0"/>
          <w:i w:val="0"/>
          <w:sz w:val="20"/>
        </w:rPr>
        <w:t>Mükellef işletme ortağının ayrıca .... Vergi Dairesinin ...... vergi sicil numarasında kayıtlı ....... şirketinde de ortaklığı bulunmaktadır.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E. Sermayeye İlişkin Bilgiler:</w:t>
      </w:r>
    </w:p>
    <w:p>
      <w:pPr>
        <w:spacing w:before="0" w:after="120"/>
        <w:jc w:val="both"/>
      </w:pPr>
      <w:r>
        <w:rPr>
          <w:rFonts w:ascii="Times New Roman" w:eastAsia="Times New Roman" w:hAnsi="Times New Roman" w:cs="Times New Roman"/>
          <w:b w:val="0"/>
          <w:i w:val="0"/>
          <w:sz w:val="20"/>
        </w:rPr>
        <w:t>Örnek İhracat ve Tekstil A.Ş. bu raporun düzenlendiği tarih itibariyle ....... TL sermayeli olup, sermaye, iki yıl içerisinde ödenecektir.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F. İletişim Araçları:</w:t>
      </w:r>
    </w:p>
    <w:p>
      <w:pPr>
        <w:spacing w:before="0" w:after="120"/>
        <w:jc w:val="both"/>
      </w:pPr>
      <w:r>
        <w:rPr>
          <w:rFonts w:ascii="Times New Roman" w:eastAsia="Times New Roman" w:hAnsi="Times New Roman" w:cs="Times New Roman"/>
          <w:b w:val="0"/>
          <w:i w:val="0"/>
          <w:sz w:val="20"/>
        </w:rPr>
        <w:t>Mükellefin iletişimi .... numaralı telefon aracılığı sağlanmaktadır. Mükellefin iletişim aracı, işletme ortağının mülkiyetinde bulunmaktadır.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G. Firmanın Kullandığı Kredi Bilgileri:</w:t>
      </w:r>
    </w:p>
    <w:p>
      <w:pPr>
        <w:spacing w:before="0" w:after="120"/>
        <w:jc w:val="both"/>
      </w:pPr>
      <w:r>
        <w:rPr>
          <w:rFonts w:ascii="Times New Roman" w:eastAsia="Times New Roman" w:hAnsi="Times New Roman" w:cs="Times New Roman"/>
          <w:b w:val="0"/>
          <w:i w:val="0"/>
          <w:sz w:val="20"/>
        </w:rPr>
        <w:t>Mükellef işletme, son bir yıl içinde herhangi bir finans kurumundan kredi kullanmamıştır.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H. İşyerlerinin Durumu:</w:t>
      </w:r>
    </w:p>
    <w:p>
      <w:pPr>
        <w:spacing w:before="0" w:after="120"/>
        <w:jc w:val="both"/>
      </w:pPr>
      <w:r>
        <w:rPr>
          <w:rFonts w:ascii="Times New Roman" w:eastAsia="Times New Roman" w:hAnsi="Times New Roman" w:cs="Times New Roman"/>
          <w:b w:val="0"/>
          <w:i w:val="0"/>
          <w:sz w:val="20"/>
        </w:rPr>
        <w:t>Mükellef işletmenin, ‘.....’ adresindeki merkez işyeri, işletme ortağının mülküdür/ işletmeye aylık .....TL bedelle kiralanmıştır. Mükellefin merkez adresi dışında bir deposu veya şubesi bulunmamaktadır. Mükellefin merkez adresinde faaliyet gösteren başka mükellef bulunmamaktadır. Merkeze ait kira sözleşmesi raporumuz ekinde sunulmuştur.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İ. Sanayi Sicil Belgesi, Kapasite Raporu, Önceki Yıl Üretim ve İhracat Rakamları:</w:t>
      </w:r>
    </w:p>
    <w:p>
      <w:pPr>
        <w:spacing w:before="0" w:after="120"/>
        <w:jc w:val="both"/>
      </w:pPr>
      <w:r>
        <w:rPr>
          <w:rFonts w:ascii="Times New Roman" w:eastAsia="Times New Roman" w:hAnsi="Times New Roman" w:cs="Times New Roman"/>
          <w:b w:val="0"/>
          <w:i w:val="0"/>
          <w:sz w:val="20"/>
        </w:rPr>
        <w:t>Sanayi Sicil Belgesi: Mükellef tedarikçi-ihracatçı olup, sanayi sicil belgesi bulunmamaktadır.</w:t>
      </w:r>
    </w:p>
    <w:p>
      <w:pPr>
        <w:spacing w:before="0" w:after="120"/>
        <w:jc w:val="both"/>
      </w:pPr>
      <w:r>
        <w:rPr>
          <w:rFonts w:ascii="Times New Roman" w:eastAsia="Times New Roman" w:hAnsi="Times New Roman" w:cs="Times New Roman"/>
          <w:b w:val="0"/>
          <w:i w:val="0"/>
          <w:sz w:val="20"/>
        </w:rPr>
        <w:t>Kapasite Raporu: Mükellefin kapasite raporu bulunmamaktadır.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J- Çalıştırılan İsçi Sayıları:</w:t>
      </w:r>
    </w:p>
    <w:p>
      <w:pPr>
        <w:spacing w:before="0" w:after="120"/>
        <w:jc w:val="both"/>
      </w:pPr>
      <w:r>
        <w:rPr>
          <w:rFonts w:ascii="Times New Roman" w:eastAsia="Times New Roman" w:hAnsi="Times New Roman" w:cs="Times New Roman"/>
          <w:b w:val="0"/>
          <w:i w:val="0"/>
          <w:sz w:val="20"/>
        </w:rPr>
        <w:t>Kurumun, inceleme döneminde çalıştırdığı işçi sayılarına ilişkin bilgiler aşağıdaki gibidir.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1866"/>
        <w:gridCol w:w="7154"/>
      </w:tblGrid>
      <w:tr>
        <w:tc>
          <w:tcPr>
            <w:tcW w:w="1866" w:type="dxa"/>
            <w:vAlign w:val="top"/>
          </w:tcPr>
          <w:p>
            <w:pPr>
              <w:spacing w:before="0" w:after="0"/>
              <w:jc w:val="left"/>
            </w:pPr>
            <w:r>
              <w:rPr>
                <w:rFonts w:ascii="Times New Roman" w:eastAsia="Times New Roman" w:hAnsi="Times New Roman" w:cs="Times New Roman"/>
                <w:b w:val="0"/>
                <w:sz w:val="20"/>
              </w:rPr>
              <w:t>Dönemi</w:t>
            </w:r>
          </w:p>
        </w:tc>
        <w:tc>
          <w:tcPr>
            <w:tcW w:w="7154" w:type="dxa"/>
            <w:vAlign w:val="top"/>
          </w:tcPr>
          <w:p>
            <w:pPr>
              <w:spacing w:before="0" w:after="0"/>
              <w:jc w:val="left"/>
            </w:pPr>
            <w:r>
              <w:rPr>
                <w:rFonts w:ascii="Times New Roman" w:eastAsia="Times New Roman" w:hAnsi="Times New Roman" w:cs="Times New Roman"/>
                <w:b w:val="0"/>
                <w:sz w:val="20"/>
              </w:rPr>
              <w:t>Çalışan Personel Sayısı</w:t>
            </w:r>
          </w:p>
        </w:tc>
      </w:tr>
      <w:tr>
        <w:tc>
          <w:tcPr>
            <w:tcW w:w="1866" w:type="dxa"/>
            <w:vAlign w:val="top"/>
          </w:tcPr>
          <w:p>
            <w:pPr>
              <w:spacing w:before="0" w:after="0"/>
              <w:jc w:val="left"/>
            </w:pPr>
            <w:r>
              <w:rPr>
                <w:rFonts w:ascii="Times New Roman" w:eastAsia="Times New Roman" w:hAnsi="Times New Roman" w:cs="Times New Roman"/>
                <w:b w:val="0"/>
                <w:sz w:val="20"/>
              </w:rPr>
              <w:t/>
            </w:r>
          </w:p>
        </w:tc>
        <w:tc>
          <w:tcPr>
            <w:tcW w:w="7154" w:type="dxa"/>
            <w:vAlign w:val="top"/>
          </w:tcPr>
          <w:p>
            <w:pPr>
              <w:spacing w:before="0" w:after="0"/>
              <w:jc w:val="left"/>
            </w:pPr>
            <w:r>
              <w:rPr>
                <w:rFonts w:ascii="Times New Roman" w:eastAsia="Times New Roman" w:hAnsi="Times New Roman" w:cs="Times New Roman"/>
                <w:b w:val="0"/>
                <w:sz w:val="20"/>
              </w:rPr>
              <w:t/>
            </w:r>
          </w:p>
        </w:tc>
      </w:tr>
      <w:tr>
        <w:tc>
          <w:tcPr>
            <w:tcW w:w="1866" w:type="dxa"/>
            <w:vAlign w:val="top"/>
          </w:tcPr>
          <w:p>
            <w:pPr>
              <w:spacing w:before="0" w:after="0"/>
              <w:jc w:val="left"/>
            </w:pPr>
            <w:r>
              <w:rPr>
                <w:rFonts w:ascii="Times New Roman" w:eastAsia="Times New Roman" w:hAnsi="Times New Roman" w:cs="Times New Roman"/>
                <w:b w:val="0"/>
                <w:sz w:val="20"/>
              </w:rPr>
              <w:t/>
            </w:r>
          </w:p>
        </w:tc>
        <w:tc>
          <w:tcPr>
            <w:tcW w:w="7154" w:type="dxa"/>
            <w:vAlign w:val="top"/>
          </w:tcPr>
          <w:p>
            <w:pPr>
              <w:spacing w:before="0" w:after="0"/>
              <w:jc w:val="left"/>
            </w:pPr>
            <w:r>
              <w:rPr>
                <w:rFonts w:ascii="Times New Roman" w:eastAsia="Times New Roman" w:hAnsi="Times New Roman" w:cs="Times New Roman"/>
                <w:b w:val="0"/>
                <w:sz w:val="20"/>
              </w:rPr>
              <w:t/>
            </w:r>
          </w:p>
        </w:tc>
      </w:tr>
      <w:tr>
        <w:tc>
          <w:tcPr>
            <w:tcW w:w="1866" w:type="dxa"/>
            <w:vAlign w:val="top"/>
          </w:tcPr>
          <w:p>
            <w:pPr>
              <w:spacing w:before="0" w:after="0"/>
              <w:jc w:val="left"/>
            </w:pPr>
            <w:r>
              <w:rPr>
                <w:rFonts w:ascii="Times New Roman" w:eastAsia="Times New Roman" w:hAnsi="Times New Roman" w:cs="Times New Roman"/>
                <w:b w:val="0"/>
                <w:sz w:val="20"/>
              </w:rPr>
              <w:t/>
            </w:r>
          </w:p>
        </w:tc>
        <w:tc>
          <w:tcPr>
            <w:tcW w:w="7154" w:type="dxa"/>
            <w:vAlign w:val="top"/>
          </w:tcPr>
          <w:p>
            <w:pPr>
              <w:spacing w:before="0" w:after="0"/>
              <w:jc w:val="left"/>
            </w:pPr>
            <w:r>
              <w:rPr>
                <w:rFonts w:ascii="Times New Roman" w:eastAsia="Times New Roman" w:hAnsi="Times New Roman" w:cs="Times New Roman"/>
                <w:b w:val="0"/>
                <w:sz w:val="20"/>
              </w:rPr>
              <w:t/>
            </w:r>
          </w:p>
        </w:tc>
      </w:tr>
      <w:tr>
        <w:tc>
          <w:tcPr>
            <w:tcW w:w="1866" w:type="dxa"/>
            <w:vAlign w:val="top"/>
          </w:tcPr>
          <w:p>
            <w:pPr>
              <w:spacing w:before="0" w:after="0"/>
              <w:jc w:val="left"/>
            </w:pPr>
            <w:r>
              <w:rPr>
                <w:rFonts w:ascii="Times New Roman" w:eastAsia="Times New Roman" w:hAnsi="Times New Roman" w:cs="Times New Roman"/>
                <w:b w:val="0"/>
                <w:sz w:val="20"/>
              </w:rPr>
              <w:t/>
            </w:r>
          </w:p>
        </w:tc>
        <w:tc>
          <w:tcPr>
            <w:tcW w:w="7154" w:type="dxa"/>
            <w:vAlign w:val="top"/>
          </w:tcPr>
          <w:p>
            <w:pPr>
              <w:spacing w:before="0" w:after="0"/>
              <w:jc w:val="left"/>
            </w:pPr>
            <w:r>
              <w:rPr>
                <w:rFonts w:ascii="Times New Roman" w:eastAsia="Times New Roman" w:hAnsi="Times New Roman" w:cs="Times New Roman"/>
                <w:b w:val="0"/>
                <w:sz w:val="20"/>
              </w:rPr>
              <w:t/>
            </w:r>
          </w:p>
        </w:tc>
      </w:tr>
      <w:tr>
        <w:tc>
          <w:tcPr>
            <w:tcW w:w="1866" w:type="dxa"/>
            <w:vAlign w:val="top"/>
          </w:tcPr>
          <w:p>
            <w:pPr>
              <w:spacing w:before="0" w:after="0"/>
              <w:jc w:val="left"/>
            </w:pPr>
            <w:r>
              <w:rPr>
                <w:rFonts w:ascii="Times New Roman" w:eastAsia="Times New Roman" w:hAnsi="Times New Roman" w:cs="Times New Roman"/>
                <w:b w:val="0"/>
                <w:sz w:val="20"/>
              </w:rPr>
              <w:t/>
            </w:r>
          </w:p>
        </w:tc>
        <w:tc>
          <w:tcPr>
            <w:tcW w:w="7154"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K. Muhasebeden Sorumlu Elemanlar Hakkında Bilgiler:</w:t>
      </w:r>
    </w:p>
    <w:p>
      <w:pPr>
        <w:spacing w:before="0" w:after="120"/>
        <w:jc w:val="both"/>
      </w:pPr>
      <w:r>
        <w:rPr>
          <w:rFonts w:ascii="Times New Roman" w:eastAsia="Times New Roman" w:hAnsi="Times New Roman" w:cs="Times New Roman"/>
          <w:b w:val="0"/>
          <w:i w:val="0"/>
          <w:sz w:val="20"/>
        </w:rPr>
        <w:t>a) Kurumun muhasebe kayıtları bilgisayar ortamında tutulmuştur. Kurumun muhasebe kayıtları ve işlemleri ...... S.M.M.M. Odasının kayıtlı üyesi ...... tarafından yapılmaktadır. ...... S.M.M.M. Odası’nın ...... sicil numaralı üyesidir.</w:t>
      </w:r>
    </w:p>
    <w:p>
      <w:pPr>
        <w:spacing w:before="0" w:after="120"/>
        <w:jc w:val="both"/>
      </w:pPr>
      <w:r>
        <w:rPr>
          <w:rFonts w:ascii="Times New Roman" w:eastAsia="Times New Roman" w:hAnsi="Times New Roman" w:cs="Times New Roman"/>
          <w:b w:val="0"/>
          <w:i w:val="0"/>
          <w:sz w:val="20"/>
        </w:rPr>
        <w:t>b) ...... yılına ilişkin olarak kurumun, Yeminli Mali Müşavirliğimiz ile arasında tam tasdik sözleşmesi bulunmamaktadır.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L. Mükellef İşletme Temsilcilerine İlişkin Bilgiler:</w:t>
      </w:r>
    </w:p>
    <w:p>
      <w:pPr>
        <w:spacing w:before="0" w:after="120"/>
        <w:jc w:val="both"/>
      </w:pPr>
      <w:r>
        <w:rPr>
          <w:rFonts w:ascii="Times New Roman" w:eastAsia="Times New Roman" w:hAnsi="Times New Roman" w:cs="Times New Roman"/>
          <w:b w:val="0"/>
          <w:i w:val="0"/>
          <w:sz w:val="20"/>
        </w:rPr>
        <w:t xml:space="preserve">Mükellef işletme temsilciliğine, mükellef işletme müdürü olarak ...... tarihinden itibaren aksi karar alınıncaya kadar mükellef işletmeyi münferiden temsil etmek üzere mükellef işletme ortağı ........ seçilmiştir. Mükellef işletme müdürü .......’e ait imza sirküleri örneği raporumuz ekinde sunulmuştur.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M. Kurumun En Son Tarihli Bilançosu ve Gelir Tablosu:</w:t>
      </w:r>
    </w:p>
    <w:p>
      <w:pPr>
        <w:spacing w:before="0" w:after="120"/>
        <w:jc w:val="both"/>
      </w:pPr>
      <w:r>
        <w:rPr>
          <w:rFonts w:ascii="Times New Roman" w:eastAsia="Times New Roman" w:hAnsi="Times New Roman" w:cs="Times New Roman"/>
          <w:b w:val="0"/>
          <w:i w:val="0"/>
          <w:sz w:val="20"/>
        </w:rPr>
        <w:t>Kurumun vergi dairesine verdiği en son Kurumlar Vergisi Beyannamesi ekindeki bilanço ve gelir tablosu Raporumuz ekindedir.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i w:val="0"/>
          <w:sz w:val="20"/>
        </w:rPr>
        <w:t>II-USUL İNCELEMELERİ</w:t>
      </w:r>
    </w:p>
    <w:p>
      <w:pPr>
        <w:spacing w:before="0" w:after="120"/>
        <w:jc w:val="both"/>
      </w:pPr>
      <w:r>
        <w:rPr>
          <w:rFonts w:ascii="Times New Roman" w:eastAsia="Times New Roman" w:hAnsi="Times New Roman" w:cs="Times New Roman"/>
          <w:b w:val="0"/>
          <w:i w:val="0"/>
          <w:sz w:val="20"/>
        </w:rPr>
        <w:t>a) Kurumun 2025 hesap dönemine ilişkin defterleri, yasal sürelerinde tasdik ettirilmiş olup, defter tasdik bilgileri aşağıdaki gibidir.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2532"/>
        <w:gridCol w:w="2057"/>
        <w:gridCol w:w="2057"/>
        <w:gridCol w:w="2374"/>
      </w:tblGrid>
      <w:tr>
        <w:tc>
          <w:tcPr>
            <w:tcW w:w="2532" w:type="dxa"/>
            <w:vAlign w:val="top"/>
          </w:tcPr>
          <w:p>
            <w:pPr>
              <w:spacing w:before="0" w:after="0"/>
              <w:jc w:val="left"/>
            </w:pPr>
            <w:r>
              <w:rPr>
                <w:rFonts w:ascii="Times New Roman" w:eastAsia="Times New Roman" w:hAnsi="Times New Roman" w:cs="Times New Roman"/>
                <w:b w:val="0"/>
                <w:sz w:val="20"/>
              </w:rPr>
              <w:t>Defterin Cinsi</w:t>
            </w:r>
          </w:p>
        </w:tc>
        <w:tc>
          <w:tcPr>
            <w:tcW w:w="2057" w:type="dxa"/>
            <w:vAlign w:val="top"/>
          </w:tcPr>
          <w:p>
            <w:pPr>
              <w:spacing w:before="0" w:after="0"/>
              <w:jc w:val="left"/>
            </w:pPr>
            <w:r>
              <w:rPr>
                <w:rFonts w:ascii="Times New Roman" w:eastAsia="Times New Roman" w:hAnsi="Times New Roman" w:cs="Times New Roman"/>
                <w:b w:val="0"/>
                <w:sz w:val="20"/>
              </w:rPr>
              <w:t>Tasdik Makamı</w:t>
            </w:r>
          </w:p>
        </w:tc>
        <w:tc>
          <w:tcPr>
            <w:tcW w:w="2057" w:type="dxa"/>
            <w:vAlign w:val="top"/>
          </w:tcPr>
          <w:p>
            <w:pPr>
              <w:spacing w:before="0" w:after="0"/>
              <w:jc w:val="left"/>
            </w:pPr>
            <w:r>
              <w:rPr>
                <w:rFonts w:ascii="Times New Roman" w:eastAsia="Times New Roman" w:hAnsi="Times New Roman" w:cs="Times New Roman"/>
                <w:b w:val="0"/>
                <w:sz w:val="20"/>
              </w:rPr>
              <w:t>Tasdik Tarihi</w:t>
            </w:r>
          </w:p>
        </w:tc>
        <w:tc>
          <w:tcPr>
            <w:tcW w:w="2374" w:type="dxa"/>
            <w:vAlign w:val="top"/>
          </w:tcPr>
          <w:p>
            <w:pPr>
              <w:spacing w:before="0" w:after="0"/>
              <w:jc w:val="left"/>
            </w:pPr>
            <w:r>
              <w:rPr>
                <w:rFonts w:ascii="Times New Roman" w:eastAsia="Times New Roman" w:hAnsi="Times New Roman" w:cs="Times New Roman"/>
                <w:b w:val="0"/>
                <w:sz w:val="20"/>
              </w:rPr>
              <w:t>Tasdik Numarası</w:t>
            </w:r>
          </w:p>
        </w:tc>
      </w:tr>
      <w:tr>
        <w:tc>
          <w:tcPr>
            <w:tcW w:w="2532" w:type="dxa"/>
            <w:vAlign w:val="top"/>
          </w:tcPr>
          <w:p>
            <w:pPr>
              <w:spacing w:before="0" w:after="0"/>
              <w:jc w:val="left"/>
            </w:pPr>
            <w:r>
              <w:rPr>
                <w:rFonts w:ascii="Times New Roman" w:eastAsia="Times New Roman" w:hAnsi="Times New Roman" w:cs="Times New Roman"/>
                <w:b w:val="0"/>
                <w:sz w:val="20"/>
              </w:rPr>
              <w:t>Yevmiye Defteri</w:t>
            </w:r>
          </w:p>
        </w:tc>
        <w:tc>
          <w:tcPr>
            <w:tcW w:w="2057" w:type="dxa"/>
            <w:vAlign w:val="top"/>
          </w:tcPr>
          <w:p>
            <w:pPr>
              <w:spacing w:before="0" w:after="0"/>
              <w:jc w:val="left"/>
            </w:pPr>
            <w:r>
              <w:rPr>
                <w:rFonts w:ascii="Times New Roman" w:eastAsia="Times New Roman" w:hAnsi="Times New Roman" w:cs="Times New Roman"/>
                <w:b w:val="0"/>
                <w:sz w:val="20"/>
              </w:rPr>
              <w:t/>
            </w:r>
          </w:p>
        </w:tc>
        <w:tc>
          <w:tcPr>
            <w:tcW w:w="2057" w:type="dxa"/>
            <w:vAlign w:val="top"/>
          </w:tcPr>
          <w:p>
            <w:pPr>
              <w:spacing w:before="0" w:after="0"/>
              <w:jc w:val="left"/>
            </w:pPr>
            <w:r>
              <w:rPr>
                <w:rFonts w:ascii="Times New Roman" w:eastAsia="Times New Roman" w:hAnsi="Times New Roman" w:cs="Times New Roman"/>
                <w:b w:val="0"/>
                <w:sz w:val="20"/>
              </w:rPr>
              <w:t/>
            </w:r>
          </w:p>
        </w:tc>
        <w:tc>
          <w:tcPr>
            <w:tcW w:w="2374" w:type="dxa"/>
            <w:vAlign w:val="top"/>
          </w:tcPr>
          <w:p>
            <w:pPr>
              <w:spacing w:before="0" w:after="0"/>
              <w:jc w:val="left"/>
            </w:pPr>
            <w:r>
              <w:rPr>
                <w:rFonts w:ascii="Times New Roman" w:eastAsia="Times New Roman" w:hAnsi="Times New Roman" w:cs="Times New Roman"/>
                <w:b w:val="0"/>
                <w:sz w:val="20"/>
              </w:rPr>
              <w:t/>
            </w:r>
          </w:p>
        </w:tc>
      </w:tr>
      <w:tr>
        <w:tc>
          <w:tcPr>
            <w:tcW w:w="2532" w:type="dxa"/>
            <w:vAlign w:val="top"/>
          </w:tcPr>
          <w:p>
            <w:pPr>
              <w:spacing w:before="0" w:after="0"/>
              <w:jc w:val="left"/>
            </w:pPr>
            <w:r>
              <w:rPr>
                <w:rFonts w:ascii="Times New Roman" w:eastAsia="Times New Roman" w:hAnsi="Times New Roman" w:cs="Times New Roman"/>
                <w:b w:val="0"/>
                <w:sz w:val="20"/>
              </w:rPr>
              <w:t>Defter-i Kebir</w:t>
            </w:r>
          </w:p>
        </w:tc>
        <w:tc>
          <w:tcPr>
            <w:tcW w:w="2057" w:type="dxa"/>
            <w:vAlign w:val="top"/>
          </w:tcPr>
          <w:p>
            <w:pPr>
              <w:spacing w:before="0" w:after="0"/>
              <w:jc w:val="left"/>
            </w:pPr>
            <w:r>
              <w:rPr>
                <w:rFonts w:ascii="Times New Roman" w:eastAsia="Times New Roman" w:hAnsi="Times New Roman" w:cs="Times New Roman"/>
                <w:b w:val="0"/>
                <w:sz w:val="20"/>
              </w:rPr>
              <w:t/>
            </w:r>
          </w:p>
        </w:tc>
        <w:tc>
          <w:tcPr>
            <w:tcW w:w="2057" w:type="dxa"/>
            <w:vAlign w:val="top"/>
          </w:tcPr>
          <w:p>
            <w:pPr>
              <w:spacing w:before="0" w:after="0"/>
              <w:jc w:val="left"/>
            </w:pPr>
            <w:r>
              <w:rPr>
                <w:rFonts w:ascii="Times New Roman" w:eastAsia="Times New Roman" w:hAnsi="Times New Roman" w:cs="Times New Roman"/>
                <w:b w:val="0"/>
                <w:sz w:val="20"/>
              </w:rPr>
              <w:t/>
            </w:r>
          </w:p>
        </w:tc>
        <w:tc>
          <w:tcPr>
            <w:tcW w:w="2374" w:type="dxa"/>
            <w:vAlign w:val="top"/>
          </w:tcPr>
          <w:p>
            <w:pPr>
              <w:spacing w:before="0" w:after="0"/>
              <w:jc w:val="left"/>
            </w:pPr>
            <w:r>
              <w:rPr>
                <w:rFonts w:ascii="Times New Roman" w:eastAsia="Times New Roman" w:hAnsi="Times New Roman" w:cs="Times New Roman"/>
                <w:b w:val="0"/>
                <w:sz w:val="20"/>
              </w:rPr>
              <w:t/>
            </w:r>
          </w:p>
        </w:tc>
      </w:tr>
      <w:tr>
        <w:tc>
          <w:tcPr>
            <w:tcW w:w="2532" w:type="dxa"/>
            <w:vAlign w:val="top"/>
          </w:tcPr>
          <w:p>
            <w:pPr>
              <w:spacing w:before="0" w:after="0"/>
              <w:jc w:val="left"/>
            </w:pPr>
            <w:r>
              <w:rPr>
                <w:rFonts w:ascii="Times New Roman" w:eastAsia="Times New Roman" w:hAnsi="Times New Roman" w:cs="Times New Roman"/>
                <w:b w:val="0"/>
                <w:sz w:val="20"/>
              </w:rPr>
              <w:t>Envanter Defteri</w:t>
            </w:r>
          </w:p>
        </w:tc>
        <w:tc>
          <w:tcPr>
            <w:tcW w:w="2057" w:type="dxa"/>
            <w:vAlign w:val="top"/>
          </w:tcPr>
          <w:p>
            <w:pPr>
              <w:spacing w:before="0" w:after="0"/>
              <w:jc w:val="left"/>
            </w:pPr>
            <w:r>
              <w:rPr>
                <w:rFonts w:ascii="Times New Roman" w:eastAsia="Times New Roman" w:hAnsi="Times New Roman" w:cs="Times New Roman"/>
                <w:b w:val="0"/>
                <w:sz w:val="20"/>
              </w:rPr>
              <w:t/>
            </w:r>
          </w:p>
        </w:tc>
        <w:tc>
          <w:tcPr>
            <w:tcW w:w="2057" w:type="dxa"/>
            <w:vAlign w:val="top"/>
          </w:tcPr>
          <w:p>
            <w:pPr>
              <w:spacing w:before="0" w:after="0"/>
              <w:jc w:val="left"/>
            </w:pPr>
            <w:r>
              <w:rPr>
                <w:rFonts w:ascii="Times New Roman" w:eastAsia="Times New Roman" w:hAnsi="Times New Roman" w:cs="Times New Roman"/>
                <w:b w:val="0"/>
                <w:sz w:val="20"/>
              </w:rPr>
              <w:t/>
            </w:r>
          </w:p>
        </w:tc>
        <w:tc>
          <w:tcPr>
            <w:tcW w:w="2374"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b) Kurumun ilgili dönem Katma Değer Vergisi beyannamelerinde beyan edilen matrah ve vergi tutarları ile defter kayıtları ve kayıtlara dayanak teşkil eden belgeler usul hükümlerine, Tekdüzen Hesap Planına ve kayıt nizamına uygun olarak, doğru bir şekilde yasal defterlere intikal ettirilip kayıt edilmiştir.</w:t>
      </w:r>
    </w:p>
    <w:p>
      <w:pPr>
        <w:spacing w:before="0" w:after="120"/>
        <w:jc w:val="both"/>
      </w:pPr>
      <w:r>
        <w:rPr>
          <w:rFonts w:ascii="Times New Roman" w:eastAsia="Times New Roman" w:hAnsi="Times New Roman" w:cs="Times New Roman"/>
          <w:b w:val="0"/>
          <w:i w:val="0"/>
          <w:sz w:val="20"/>
        </w:rPr>
        <w:t>c) Kurumun 2025 Yılının Mart Aylık Dönemine ilişkin defter ve belgelerinin incelenmesi neticesinde, inceleme dönemine ilişkin verilmesi gereken Katma Değer Vergisi ve Muhtasar Beyannamelerinin yasal sürelerinde ilgili vergi dairesine verildiği görülmüştür.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i w:val="0"/>
          <w:sz w:val="20"/>
        </w:rPr>
        <w:t>III-HESAP İNCELEMELERİ</w:t>
      </w:r>
    </w:p>
    <w:p>
      <w:pPr>
        <w:spacing w:before="0" w:after="120"/>
        <w:jc w:val="both"/>
      </w:pPr>
      <w:r>
        <w:rPr>
          <w:rFonts w:ascii="Times New Roman" w:eastAsia="Times New Roman" w:hAnsi="Times New Roman" w:cs="Times New Roman"/>
          <w:b w:val="0"/>
          <w:i w:val="0"/>
          <w:sz w:val="20"/>
        </w:rPr>
        <w:t>Mükellef adına 2025 Yılının Mart Aylık Döneminde yapmış olduğu ihracat teslimleri nedeniyle yüklendiği ve indirim yolu ile gideremediği Katma Değer Vergisi tutarının iadesi talebinde bulunulmuştur.</w:t>
      </w:r>
    </w:p>
    <w:p>
      <w:pPr>
        <w:spacing w:before="0" w:after="120"/>
        <w:jc w:val="both"/>
      </w:pPr>
      <w:r>
        <w:rPr>
          <w:rFonts w:ascii="Times New Roman" w:eastAsia="Times New Roman" w:hAnsi="Times New Roman" w:cs="Times New Roman"/>
          <w:b w:val="0"/>
          <w:i w:val="0"/>
          <w:sz w:val="20"/>
        </w:rPr>
        <w:t>Kurumun 2025 Yılının Mart Aylık Dönemi ilişkin yasal defter kayıtları ve belgeleri üzerinde, Yeminli Mali Müşavirliğimizce yapılan incelemeler ve tespit edilen hususlar raporumuzun aşağıdaki bölümlerinde açıklanmıştır.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1. 2025 Yılının Mart Aylık Dönemi KDV Beyannamesi</w:t>
      </w:r>
    </w:p>
    <w:p>
      <w:pPr>
        <w:spacing w:before="0" w:after="120"/>
        <w:jc w:val="both"/>
      </w:pPr>
      <w:r>
        <w:rPr>
          <w:rFonts w:ascii="Times New Roman" w:eastAsia="Times New Roman" w:hAnsi="Times New Roman" w:cs="Times New Roman"/>
          <w:b w:val="0"/>
          <w:i w:val="0"/>
          <w:sz w:val="20"/>
        </w:rPr>
        <w:t>Mükellef kurumun 2025 Yılının Mart Aylık Dönemi ve önceki aylık döneme ait KDV beyannameleri Kurgusal V.D. Vergi Dairesi Müdürlüğü’ne verilmiştir.</w:t>
      </w:r>
    </w:p>
    <w:p>
      <w:pPr>
        <w:spacing w:before="0" w:after="120"/>
        <w:jc w:val="both"/>
      </w:pPr>
      <w:r>
        <w:rPr>
          <w:rFonts w:ascii="Times New Roman" w:eastAsia="Times New Roman" w:hAnsi="Times New Roman" w:cs="Times New Roman"/>
          <w:b w:val="0"/>
          <w:i w:val="0"/>
          <w:sz w:val="20"/>
        </w:rPr>
        <w:t>Verilen beyannamelerin dökümleri aylar itibariyle aşağıya çıkarılmıştır.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4365"/>
        <w:gridCol w:w="2182"/>
        <w:gridCol w:w="2473"/>
      </w:tblGrid>
      <w:tr>
        <w:tc>
          <w:tcPr>
            <w:tcW w:w="4365" w:type="dxa"/>
            <w:vAlign w:val="top"/>
          </w:tcPr>
          <w:p>
            <w:pPr>
              <w:spacing w:before="0" w:after="0"/>
              <w:jc w:val="center"/>
            </w:pPr>
            <w:r>
              <w:rPr>
                <w:rFonts w:ascii="Times New Roman" w:eastAsia="Times New Roman" w:hAnsi="Times New Roman" w:cs="Times New Roman"/>
                <w:b w:val="0"/>
                <w:sz w:val="20"/>
              </w:rPr>
              <w:t>Açıklama/Dönem</w:t>
            </w:r>
          </w:p>
        </w:tc>
        <w:tc>
          <w:tcPr>
            <w:tcW w:w="2182" w:type="dxa"/>
            <w:vAlign w:val="top"/>
          </w:tcPr>
          <w:p>
            <w:pPr>
              <w:spacing w:before="0" w:after="0"/>
              <w:jc w:val="center"/>
            </w:pPr>
            <w:r>
              <w:rPr>
                <w:rFonts w:ascii="Times New Roman" w:eastAsia="Times New Roman" w:hAnsi="Times New Roman" w:cs="Times New Roman"/>
                <w:b w:val="0"/>
                <w:sz w:val="20"/>
              </w:rPr>
              <w:t>Cari Dönem (TL)</w:t>
            </w:r>
          </w:p>
        </w:tc>
        <w:tc>
          <w:tcPr>
            <w:tcW w:w="2473" w:type="dxa"/>
            <w:vAlign w:val="top"/>
          </w:tcPr>
          <w:p>
            <w:pPr>
              <w:spacing w:before="0" w:after="0"/>
              <w:jc w:val="center"/>
            </w:pPr>
            <w:r>
              <w:rPr>
                <w:rFonts w:ascii="Times New Roman" w:eastAsia="Times New Roman" w:hAnsi="Times New Roman" w:cs="Times New Roman"/>
                <w:b w:val="0"/>
                <w:sz w:val="20"/>
              </w:rPr>
              <w:t>Önceki Dönem (TL)</w:t>
            </w:r>
          </w:p>
        </w:tc>
      </w:tr>
      <w:tr>
        <w:tc>
          <w:tcPr>
            <w:tcW w:w="4365" w:type="dxa"/>
            <w:vAlign w:val="top"/>
          </w:tcPr>
          <w:p>
            <w:pPr>
              <w:spacing w:before="0" w:after="0"/>
              <w:jc w:val="center"/>
            </w:pPr>
            <w:r>
              <w:rPr>
                <w:rFonts w:ascii="Times New Roman" w:eastAsia="Times New Roman" w:hAnsi="Times New Roman" w:cs="Times New Roman"/>
                <w:b w:val="0"/>
                <w:sz w:val="20"/>
              </w:rPr>
              <w:t>Matrah Toplamı</w:t>
            </w:r>
          </w:p>
        </w:tc>
        <w:tc>
          <w:tcPr>
            <w:tcW w:w="2182" w:type="dxa"/>
            <w:vAlign w:val="top"/>
          </w:tcPr>
          <w:p>
            <w:pPr>
              <w:spacing w:before="0" w:after="0"/>
              <w:jc w:val="center"/>
            </w:pPr>
            <w:r>
              <w:rPr>
                <w:rFonts w:ascii="Times New Roman" w:eastAsia="Times New Roman" w:hAnsi="Times New Roman" w:cs="Times New Roman"/>
                <w:b w:val="0"/>
                <w:sz w:val="20"/>
              </w:rPr>
              <w:t>540.000,00</w:t>
            </w:r>
          </w:p>
        </w:tc>
        <w:tc>
          <w:tcPr>
            <w:tcW w:w="2473" w:type="dxa"/>
            <w:vAlign w:val="top"/>
          </w:tcPr>
          <w:p>
            <w:pPr>
              <w:spacing w:before="0" w:after="0"/>
              <w:jc w:val="center"/>
            </w:pPr>
            <w:r>
              <w:rPr>
                <w:rFonts w:ascii="Times New Roman" w:eastAsia="Times New Roman" w:hAnsi="Times New Roman" w:cs="Times New Roman"/>
                <w:b w:val="0"/>
                <w:sz w:val="20"/>
              </w:rPr>
              <w:t>620.000,00</w:t>
            </w:r>
          </w:p>
        </w:tc>
      </w:tr>
      <w:tr>
        <w:tc>
          <w:tcPr>
            <w:tcW w:w="4365" w:type="dxa"/>
            <w:vAlign w:val="top"/>
          </w:tcPr>
          <w:p>
            <w:pPr>
              <w:spacing w:before="0" w:after="0"/>
              <w:jc w:val="center"/>
            </w:pPr>
            <w:r>
              <w:rPr>
                <w:rFonts w:ascii="Times New Roman" w:eastAsia="Times New Roman" w:hAnsi="Times New Roman" w:cs="Times New Roman"/>
                <w:b w:val="0"/>
                <w:sz w:val="20"/>
              </w:rPr>
              <w:t>Hesaplanan KDV</w:t>
            </w:r>
          </w:p>
        </w:tc>
        <w:tc>
          <w:tcPr>
            <w:tcW w:w="2182" w:type="dxa"/>
            <w:vAlign w:val="top"/>
          </w:tcPr>
          <w:p>
            <w:pPr>
              <w:spacing w:before="0" w:after="0"/>
              <w:jc w:val="center"/>
            </w:pPr>
            <w:r>
              <w:rPr>
                <w:rFonts w:ascii="Times New Roman" w:eastAsia="Times New Roman" w:hAnsi="Times New Roman" w:cs="Times New Roman"/>
                <w:b w:val="0"/>
                <w:sz w:val="20"/>
              </w:rPr>
              <w:t>108.000,00</w:t>
            </w:r>
          </w:p>
        </w:tc>
        <w:tc>
          <w:tcPr>
            <w:tcW w:w="2473" w:type="dxa"/>
            <w:vAlign w:val="top"/>
          </w:tcPr>
          <w:p>
            <w:pPr>
              <w:spacing w:before="0" w:after="0"/>
              <w:jc w:val="center"/>
            </w:pPr>
            <w:r>
              <w:rPr>
                <w:rFonts w:ascii="Times New Roman" w:eastAsia="Times New Roman" w:hAnsi="Times New Roman" w:cs="Times New Roman"/>
                <w:b w:val="0"/>
                <w:sz w:val="20"/>
              </w:rPr>
              <w:t>124.000,00</w:t>
            </w:r>
          </w:p>
        </w:tc>
      </w:tr>
      <w:tr>
        <w:tc>
          <w:tcPr>
            <w:tcW w:w="4365" w:type="dxa"/>
            <w:vAlign w:val="top"/>
          </w:tcPr>
          <w:p>
            <w:pPr>
              <w:spacing w:before="0" w:after="0"/>
              <w:jc w:val="center"/>
            </w:pPr>
            <w:r>
              <w:rPr>
                <w:rFonts w:ascii="Times New Roman" w:eastAsia="Times New Roman" w:hAnsi="Times New Roman" w:cs="Times New Roman"/>
                <w:b w:val="0"/>
                <w:sz w:val="20"/>
              </w:rPr>
              <w:t>Toplam KDV</w:t>
            </w:r>
          </w:p>
        </w:tc>
        <w:tc>
          <w:tcPr>
            <w:tcW w:w="2182" w:type="dxa"/>
            <w:vAlign w:val="top"/>
          </w:tcPr>
          <w:p>
            <w:pPr>
              <w:spacing w:before="0" w:after="0"/>
              <w:jc w:val="center"/>
            </w:pPr>
            <w:r>
              <w:rPr>
                <w:rFonts w:ascii="Times New Roman" w:eastAsia="Times New Roman" w:hAnsi="Times New Roman" w:cs="Times New Roman"/>
                <w:b w:val="0"/>
                <w:sz w:val="20"/>
              </w:rPr>
              <w:t/>
            </w:r>
          </w:p>
        </w:tc>
        <w:tc>
          <w:tcPr>
            <w:tcW w:w="2473" w:type="dxa"/>
            <w:vAlign w:val="top"/>
          </w:tcPr>
          <w:p>
            <w:pPr>
              <w:spacing w:before="0" w:after="0"/>
              <w:jc w:val="center"/>
            </w:pPr>
            <w:r>
              <w:rPr>
                <w:rFonts w:ascii="Times New Roman" w:eastAsia="Times New Roman" w:hAnsi="Times New Roman" w:cs="Times New Roman"/>
                <w:b w:val="0"/>
                <w:sz w:val="20"/>
              </w:rPr>
              <w:t/>
            </w:r>
          </w:p>
        </w:tc>
      </w:tr>
      <w:tr>
        <w:tc>
          <w:tcPr>
            <w:tcW w:w="4365" w:type="dxa"/>
            <w:vAlign w:val="top"/>
          </w:tcPr>
          <w:p>
            <w:pPr>
              <w:spacing w:before="0" w:after="0"/>
              <w:jc w:val="center"/>
            </w:pPr>
            <w:r>
              <w:rPr>
                <w:rFonts w:ascii="Times New Roman" w:eastAsia="Times New Roman" w:hAnsi="Times New Roman" w:cs="Times New Roman"/>
                <w:b w:val="0"/>
                <w:sz w:val="20"/>
              </w:rPr>
              <w:t>Önceki Dönemden Devreden KDV</w:t>
            </w:r>
          </w:p>
        </w:tc>
        <w:tc>
          <w:tcPr>
            <w:tcW w:w="2182" w:type="dxa"/>
            <w:vAlign w:val="top"/>
          </w:tcPr>
          <w:p>
            <w:pPr>
              <w:spacing w:before="0" w:after="0"/>
              <w:jc w:val="center"/>
            </w:pPr>
            <w:r>
              <w:rPr>
                <w:rFonts w:ascii="Times New Roman" w:eastAsia="Times New Roman" w:hAnsi="Times New Roman" w:cs="Times New Roman"/>
                <w:b w:val="0"/>
                <w:sz w:val="20"/>
              </w:rPr>
              <w:t>1.036.000,00</w:t>
            </w:r>
          </w:p>
        </w:tc>
        <w:tc>
          <w:tcPr>
            <w:tcW w:w="2473" w:type="dxa"/>
            <w:vAlign w:val="top"/>
          </w:tcPr>
          <w:p>
            <w:pPr>
              <w:spacing w:before="0" w:after="0"/>
              <w:jc w:val="center"/>
            </w:pPr>
            <w:r>
              <w:rPr>
                <w:rFonts w:ascii="Times New Roman" w:eastAsia="Times New Roman" w:hAnsi="Times New Roman" w:cs="Times New Roman"/>
                <w:b w:val="0"/>
                <w:sz w:val="20"/>
              </w:rPr>
              <w:t>950.000,00</w:t>
            </w:r>
          </w:p>
        </w:tc>
      </w:tr>
      <w:tr>
        <w:tc>
          <w:tcPr>
            <w:tcW w:w="4365" w:type="dxa"/>
            <w:vAlign w:val="top"/>
          </w:tcPr>
          <w:p>
            <w:pPr>
              <w:spacing w:before="0" w:after="0"/>
              <w:jc w:val="center"/>
            </w:pPr>
            <w:r>
              <w:rPr>
                <w:rFonts w:ascii="Times New Roman" w:eastAsia="Times New Roman" w:hAnsi="Times New Roman" w:cs="Times New Roman"/>
                <w:b w:val="0"/>
                <w:sz w:val="20"/>
              </w:rPr>
              <w:t>Yurt İçi Alımlara İlişkin KDV</w:t>
            </w:r>
          </w:p>
        </w:tc>
        <w:tc>
          <w:tcPr>
            <w:tcW w:w="2182" w:type="dxa"/>
            <w:vAlign w:val="top"/>
          </w:tcPr>
          <w:p>
            <w:pPr>
              <w:spacing w:before="0" w:after="0"/>
              <w:jc w:val="center"/>
            </w:pPr>
            <w:r>
              <w:rPr>
                <w:rFonts w:ascii="Times New Roman" w:eastAsia="Times New Roman" w:hAnsi="Times New Roman" w:cs="Times New Roman"/>
                <w:b w:val="0"/>
                <w:sz w:val="20"/>
              </w:rPr>
              <w:t>288.000,00</w:t>
            </w:r>
          </w:p>
        </w:tc>
        <w:tc>
          <w:tcPr>
            <w:tcW w:w="2473" w:type="dxa"/>
            <w:vAlign w:val="top"/>
          </w:tcPr>
          <w:p>
            <w:pPr>
              <w:spacing w:before="0" w:after="0"/>
              <w:jc w:val="center"/>
            </w:pPr>
            <w:r>
              <w:rPr>
                <w:rFonts w:ascii="Times New Roman" w:eastAsia="Times New Roman" w:hAnsi="Times New Roman" w:cs="Times New Roman"/>
                <w:b w:val="0"/>
                <w:sz w:val="20"/>
              </w:rPr>
              <w:t>210.000,00</w:t>
            </w:r>
          </w:p>
        </w:tc>
      </w:tr>
      <w:tr>
        <w:tc>
          <w:tcPr>
            <w:tcW w:w="4365" w:type="dxa"/>
            <w:vAlign w:val="top"/>
          </w:tcPr>
          <w:p>
            <w:pPr>
              <w:spacing w:before="0" w:after="0"/>
              <w:jc w:val="center"/>
            </w:pPr>
            <w:r>
              <w:rPr>
                <w:rFonts w:ascii="Times New Roman" w:eastAsia="Times New Roman" w:hAnsi="Times New Roman" w:cs="Times New Roman"/>
                <w:b w:val="0"/>
                <w:sz w:val="20"/>
              </w:rPr>
              <w:t>İndirimler Toplamı</w:t>
            </w:r>
          </w:p>
        </w:tc>
        <w:tc>
          <w:tcPr>
            <w:tcW w:w="2182" w:type="dxa"/>
            <w:vAlign w:val="top"/>
          </w:tcPr>
          <w:p>
            <w:pPr>
              <w:spacing w:before="0" w:after="0"/>
              <w:jc w:val="center"/>
            </w:pPr>
            <w:r>
              <w:rPr>
                <w:rFonts w:ascii="Times New Roman" w:eastAsia="Times New Roman" w:hAnsi="Times New Roman" w:cs="Times New Roman"/>
                <w:b w:val="0"/>
                <w:sz w:val="20"/>
              </w:rPr>
              <w:t>288.000,00</w:t>
            </w:r>
          </w:p>
        </w:tc>
        <w:tc>
          <w:tcPr>
            <w:tcW w:w="2473" w:type="dxa"/>
            <w:vAlign w:val="top"/>
          </w:tcPr>
          <w:p>
            <w:pPr>
              <w:spacing w:before="0" w:after="0"/>
              <w:jc w:val="center"/>
            </w:pPr>
            <w:r>
              <w:rPr>
                <w:rFonts w:ascii="Times New Roman" w:eastAsia="Times New Roman" w:hAnsi="Times New Roman" w:cs="Times New Roman"/>
                <w:b w:val="0"/>
                <w:sz w:val="20"/>
              </w:rPr>
              <w:t>210.000,00</w:t>
            </w:r>
          </w:p>
        </w:tc>
      </w:tr>
      <w:tr>
        <w:tc>
          <w:tcPr>
            <w:tcW w:w="4365" w:type="dxa"/>
            <w:vAlign w:val="top"/>
          </w:tcPr>
          <w:p>
            <w:pPr>
              <w:spacing w:before="0" w:after="0"/>
              <w:jc w:val="center"/>
            </w:pPr>
            <w:r>
              <w:rPr>
                <w:rFonts w:ascii="Times New Roman" w:eastAsia="Times New Roman" w:hAnsi="Times New Roman" w:cs="Times New Roman"/>
                <w:b w:val="0"/>
                <w:sz w:val="20"/>
              </w:rPr>
              <w:t>Ödenmesi Gereken KDV</w:t>
            </w:r>
          </w:p>
        </w:tc>
        <w:tc>
          <w:tcPr>
            <w:tcW w:w="2182" w:type="dxa"/>
            <w:vAlign w:val="top"/>
          </w:tcPr>
          <w:p>
            <w:pPr>
              <w:spacing w:before="0" w:after="0"/>
              <w:jc w:val="center"/>
            </w:pPr>
            <w:r>
              <w:rPr>
                <w:rFonts w:ascii="Times New Roman" w:eastAsia="Times New Roman" w:hAnsi="Times New Roman" w:cs="Times New Roman"/>
                <w:b w:val="0"/>
                <w:sz w:val="20"/>
              </w:rPr>
              <w:t/>
            </w:r>
          </w:p>
        </w:tc>
        <w:tc>
          <w:tcPr>
            <w:tcW w:w="2473" w:type="dxa"/>
            <w:vAlign w:val="top"/>
          </w:tcPr>
          <w:p>
            <w:pPr>
              <w:spacing w:before="0" w:after="0"/>
              <w:jc w:val="center"/>
            </w:pPr>
            <w:r>
              <w:rPr>
                <w:rFonts w:ascii="Times New Roman" w:eastAsia="Times New Roman" w:hAnsi="Times New Roman" w:cs="Times New Roman"/>
                <w:b w:val="0"/>
                <w:sz w:val="20"/>
              </w:rPr>
              <w:t/>
            </w:r>
          </w:p>
        </w:tc>
      </w:tr>
      <w:tr>
        <w:tc>
          <w:tcPr>
            <w:tcW w:w="4365" w:type="dxa"/>
            <w:vAlign w:val="top"/>
          </w:tcPr>
          <w:p>
            <w:pPr>
              <w:spacing w:before="0" w:after="0"/>
              <w:jc w:val="center"/>
            </w:pPr>
            <w:r>
              <w:rPr>
                <w:rFonts w:ascii="Times New Roman" w:eastAsia="Times New Roman" w:hAnsi="Times New Roman" w:cs="Times New Roman"/>
                <w:b w:val="0"/>
                <w:sz w:val="20"/>
              </w:rPr>
              <w:t>İade Edilmesi Gereken KDV</w:t>
            </w:r>
          </w:p>
        </w:tc>
        <w:tc>
          <w:tcPr>
            <w:tcW w:w="2182" w:type="dxa"/>
            <w:vAlign w:val="top"/>
          </w:tcPr>
          <w:p>
            <w:pPr>
              <w:spacing w:before="0" w:after="0"/>
              <w:jc w:val="center"/>
            </w:pPr>
            <w:r>
              <w:rPr>
                <w:rFonts w:ascii="Times New Roman" w:eastAsia="Times New Roman" w:hAnsi="Times New Roman" w:cs="Times New Roman"/>
                <w:b w:val="0"/>
                <w:sz w:val="20"/>
              </w:rPr>
              <w:t/>
            </w:r>
          </w:p>
        </w:tc>
        <w:tc>
          <w:tcPr>
            <w:tcW w:w="2473" w:type="dxa"/>
            <w:vAlign w:val="top"/>
          </w:tcPr>
          <w:p>
            <w:pPr>
              <w:spacing w:before="0" w:after="0"/>
              <w:jc w:val="center"/>
            </w:pPr>
            <w:r>
              <w:rPr>
                <w:rFonts w:ascii="Times New Roman" w:eastAsia="Times New Roman" w:hAnsi="Times New Roman" w:cs="Times New Roman"/>
                <w:b w:val="0"/>
                <w:sz w:val="20"/>
              </w:rPr>
              <w:t/>
            </w:r>
          </w:p>
        </w:tc>
      </w:tr>
      <w:tr>
        <w:tc>
          <w:tcPr>
            <w:tcW w:w="4365" w:type="dxa"/>
            <w:vAlign w:val="top"/>
          </w:tcPr>
          <w:p>
            <w:pPr>
              <w:spacing w:before="0" w:after="0"/>
              <w:jc w:val="center"/>
            </w:pPr>
            <w:r>
              <w:rPr>
                <w:rFonts w:ascii="Times New Roman" w:eastAsia="Times New Roman" w:hAnsi="Times New Roman" w:cs="Times New Roman"/>
                <w:b w:val="0"/>
                <w:sz w:val="20"/>
              </w:rPr>
              <w:t>Sonraki Döneme Devreden KDV</w:t>
            </w:r>
          </w:p>
        </w:tc>
        <w:tc>
          <w:tcPr>
            <w:tcW w:w="2182" w:type="dxa"/>
            <w:vAlign w:val="top"/>
          </w:tcPr>
          <w:p>
            <w:pPr>
              <w:spacing w:before="0" w:after="0"/>
              <w:jc w:val="center"/>
            </w:pPr>
            <w:r>
              <w:rPr>
                <w:rFonts w:ascii="Times New Roman" w:eastAsia="Times New Roman" w:hAnsi="Times New Roman" w:cs="Times New Roman"/>
                <w:b w:val="0"/>
                <w:sz w:val="20"/>
              </w:rPr>
              <w:t>1.216.000,00</w:t>
            </w:r>
          </w:p>
        </w:tc>
        <w:tc>
          <w:tcPr>
            <w:tcW w:w="2473" w:type="dxa"/>
            <w:vAlign w:val="top"/>
          </w:tcPr>
          <w:p>
            <w:pPr>
              <w:spacing w:before="0" w:after="0"/>
              <w:jc w:val="center"/>
            </w:pPr>
            <w:r>
              <w:rPr>
                <w:rFonts w:ascii="Times New Roman" w:eastAsia="Times New Roman" w:hAnsi="Times New Roman" w:cs="Times New Roman"/>
                <w:b w:val="0"/>
                <w:sz w:val="20"/>
              </w:rPr>
              <w:t>1.036.000,00</w:t>
            </w:r>
          </w:p>
        </w:tc>
      </w:tr>
      <w:tr>
        <w:tc>
          <w:tcPr>
            <w:tcW w:w="4365" w:type="dxa"/>
            <w:vAlign w:val="top"/>
          </w:tcPr>
          <w:p>
            <w:pPr>
              <w:spacing w:before="0" w:after="0"/>
              <w:jc w:val="center"/>
            </w:pPr>
            <w:r>
              <w:rPr>
                <w:rFonts w:ascii="Times New Roman" w:eastAsia="Times New Roman" w:hAnsi="Times New Roman" w:cs="Times New Roman"/>
                <w:b w:val="0"/>
                <w:sz w:val="20"/>
              </w:rPr>
              <w:t>Tam İstisna Kapsamına Giren İşl. (Toplam)</w:t>
            </w:r>
          </w:p>
        </w:tc>
        <w:tc>
          <w:tcPr>
            <w:tcW w:w="2182" w:type="dxa"/>
            <w:vAlign w:val="top"/>
          </w:tcPr>
          <w:p>
            <w:pPr>
              <w:spacing w:before="0" w:after="0"/>
              <w:jc w:val="center"/>
            </w:pPr>
            <w:r>
              <w:rPr>
                <w:rFonts w:ascii="Times New Roman" w:eastAsia="Times New Roman" w:hAnsi="Times New Roman" w:cs="Times New Roman"/>
                <w:b w:val="0"/>
                <w:sz w:val="20"/>
              </w:rPr>
              <w:t>4.000.000,00</w:t>
            </w:r>
          </w:p>
        </w:tc>
        <w:tc>
          <w:tcPr>
            <w:tcW w:w="2473" w:type="dxa"/>
            <w:vAlign w:val="top"/>
          </w:tcPr>
          <w:p>
            <w:pPr>
              <w:spacing w:before="0" w:after="0"/>
              <w:jc w:val="center"/>
            </w:pPr>
            <w:r>
              <w:rPr>
                <w:rFonts w:ascii="Times New Roman" w:eastAsia="Times New Roman" w:hAnsi="Times New Roman" w:cs="Times New Roman"/>
                <w:b w:val="0"/>
                <w:sz w:val="20"/>
              </w:rPr>
              <w:t>2.800.000,00</w:t>
            </w:r>
          </w:p>
        </w:tc>
      </w:tr>
      <w:tr>
        <w:tc>
          <w:tcPr>
            <w:tcW w:w="4365" w:type="dxa"/>
            <w:vAlign w:val="top"/>
          </w:tcPr>
          <w:p>
            <w:pPr>
              <w:spacing w:before="0" w:after="0"/>
              <w:jc w:val="center"/>
            </w:pPr>
            <w:r>
              <w:rPr>
                <w:rFonts w:ascii="Times New Roman" w:eastAsia="Times New Roman" w:hAnsi="Times New Roman" w:cs="Times New Roman"/>
                <w:b w:val="0"/>
                <w:sz w:val="20"/>
              </w:rPr>
              <w:t>Beyannamenin Verildiği Tarih/Saati</w:t>
            </w:r>
          </w:p>
        </w:tc>
        <w:tc>
          <w:tcPr>
            <w:tcW w:w="2182" w:type="dxa"/>
            <w:vAlign w:val="top"/>
          </w:tcPr>
          <w:p>
            <w:pPr>
              <w:spacing w:before="0" w:after="0"/>
              <w:jc w:val="center"/>
            </w:pPr>
            <w:r>
              <w:rPr>
                <w:rFonts w:ascii="Times New Roman" w:eastAsia="Times New Roman" w:hAnsi="Times New Roman" w:cs="Times New Roman"/>
                <w:b w:val="0"/>
                <w:sz w:val="20"/>
              </w:rPr>
              <w:t/>
            </w:r>
          </w:p>
        </w:tc>
        <w:tc>
          <w:tcPr>
            <w:tcW w:w="2473" w:type="dxa"/>
            <w:vAlign w:val="top"/>
          </w:tcPr>
          <w:p>
            <w:pPr>
              <w:spacing w:before="0" w:after="0"/>
              <w:jc w:val="center"/>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2. Tasdik İşlemlerine İlişkin Mevzuat</w:t>
      </w:r>
    </w:p>
    <w:p>
      <w:pPr>
        <w:spacing w:before="0" w:after="120"/>
        <w:jc w:val="both"/>
      </w:pPr>
      <w:r>
        <w:rPr>
          <w:rFonts w:ascii="Times New Roman" w:eastAsia="Times New Roman" w:hAnsi="Times New Roman" w:cs="Times New Roman"/>
          <w:b w:val="0"/>
          <w:i w:val="0"/>
          <w:sz w:val="20"/>
        </w:rPr>
        <w:t>Katma Değer Vergisi Kanunu'nun 11/1-a maddesinde yer alan işlemler neticesinde doğan katma değer vergisi iadesinin ve/veya mahsubunun teminat gösterilmeksizin yeminli mali müşavirlerin düzenleyecekleri tasdik raporuna dayanılarak yapılabileceği 1 Seri No.lu YMM Genel Tebliğinde düzenlenmiştir. KDV Genel Tebliğleri 01.05.2014 tarihinde yürürlüğe giren KDV Genel Uygulama Tebliği ile yeniden düzenlenmiştir.</w:t>
      </w:r>
    </w:p>
    <w:p>
      <w:pPr>
        <w:spacing w:before="0" w:after="120"/>
        <w:jc w:val="both"/>
      </w:pPr>
      <w:r>
        <w:rPr>
          <w:rFonts w:ascii="Times New Roman" w:eastAsia="Times New Roman" w:hAnsi="Times New Roman" w:cs="Times New Roman"/>
          <w:b w:val="0"/>
          <w:i w:val="0"/>
          <w:sz w:val="20"/>
        </w:rPr>
        <w:t>Diğer taraftan, 3568 Sayılı Serbest Muhasebeci Mali Müşavirlik ve Yeminli Mali Müşavirlik Kanunu’nun 12’inci maddesinin Maliye Bakanlığı'na verdiği yetkiye dayanılarak hazırlanan “Yeminli Mali Müşavirlerin Tasdik Edecekleri Belgeler, Tasdik Konuları, Tasdike İlişkin Usul ve Esaslar Hakkındaki Yönetmelik” in 7-C/b maddesi ile iade hakkı doğuran işlem ve belgeler tasdik kapsamına alınmıştır. Yeminli mali müşavirlerce yapılacak KDV iade incelemesinin usul ve esasları ile kapsam ve sınırları ise, 1, 20, 27, 29 ve 41 No.lu YMM Genel Tebliğlerinde açıklanmıştır. İncelemelerimiz yukarıda anılan tebliğlerde belirtilen esas ve usullere uygun olarak yürütülmüştür.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 Gerçekleşen Mal İhraçları Teslim İstisnaları</w:t>
      </w:r>
    </w:p>
    <w:p>
      <w:pPr>
        <w:spacing w:before="0" w:after="120"/>
        <w:jc w:val="both"/>
      </w:pPr>
      <w:r>
        <w:rPr>
          <w:rFonts w:ascii="Times New Roman" w:eastAsia="Times New Roman" w:hAnsi="Times New Roman" w:cs="Times New Roman"/>
          <w:b w:val="0"/>
          <w:i w:val="0"/>
          <w:sz w:val="20"/>
        </w:rPr>
        <w:t>2025 Yılının Mart Aylık Döneminde gerçekleşen istisnalar toplamı 4.000.000,00 TL’dir. Bu tutarın tamamının yurt dışına mal ihracından kaynaklandığı tespit edilmiştir. İlgili kanunlar gereği yapılan teslimlere ilişkin tutarlar aşağıda tablo halinde gösterilmiştir.</w:t>
      </w:r>
    </w:p>
    <w:tbl>
      <w:tblPr>
        <w:tblW w:w="2835"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4747"/>
        <w:gridCol w:w="4273"/>
      </w:tblGrid>
      <w:tr>
        <w:tc>
          <w:tcPr>
            <w:tcW w:w="4747" w:type="dxa"/>
            <w:vAlign w:val="top"/>
          </w:tcPr>
          <w:p>
            <w:pPr>
              <w:spacing w:before="0" w:after="0"/>
              <w:jc w:val="center"/>
            </w:pPr>
            <w:r>
              <w:rPr>
                <w:rFonts w:ascii="Times New Roman" w:eastAsia="Times New Roman" w:hAnsi="Times New Roman" w:cs="Times New Roman"/>
                <w:b w:val="0"/>
                <w:sz w:val="20"/>
              </w:rPr>
              <w:t>DÖNEMİ</w:t>
            </w:r>
          </w:p>
        </w:tc>
        <w:tc>
          <w:tcPr>
            <w:tcW w:w="4273" w:type="dxa"/>
            <w:vAlign w:val="top"/>
          </w:tcPr>
          <w:p>
            <w:pPr>
              <w:spacing w:before="0" w:after="0"/>
              <w:jc w:val="center"/>
            </w:pPr>
            <w:r>
              <w:rPr>
                <w:rFonts w:ascii="Times New Roman" w:eastAsia="Times New Roman" w:hAnsi="Times New Roman" w:cs="Times New Roman"/>
                <w:b w:val="0"/>
                <w:sz w:val="20"/>
              </w:rPr>
              <w:t>YURT DIŞI SATIŞ TUTARI (TL)</w:t>
            </w:r>
          </w:p>
        </w:tc>
      </w:tr>
      <w:tr>
        <w:tc>
          <w:tcPr>
            <w:tcW w:w="4747" w:type="dxa"/>
            <w:vAlign w:val="top"/>
          </w:tcPr>
          <w:p>
            <w:pPr>
              <w:spacing w:before="0" w:after="0"/>
              <w:jc w:val="center"/>
            </w:pPr>
            <w:r>
              <w:rPr>
                <w:rFonts w:ascii="Times New Roman" w:eastAsia="Times New Roman" w:hAnsi="Times New Roman" w:cs="Times New Roman"/>
                <w:b w:val="0"/>
                <w:sz w:val="20"/>
              </w:rPr>
              <w:t>2025 Yılının Mart Aylık Dönemi</w:t>
            </w:r>
          </w:p>
        </w:tc>
        <w:tc>
          <w:tcPr>
            <w:tcW w:w="4273" w:type="dxa"/>
            <w:vAlign w:val="top"/>
          </w:tcPr>
          <w:p>
            <w:pPr>
              <w:spacing w:before="0" w:after="0"/>
              <w:jc w:val="center"/>
            </w:pPr>
            <w:r>
              <w:rPr>
                <w:rFonts w:ascii="Times New Roman" w:eastAsia="Times New Roman" w:hAnsi="Times New Roman" w:cs="Times New Roman"/>
                <w:b w:val="0"/>
                <w:sz w:val="20"/>
              </w:rPr>
              <w:t>4.000.000,00</w:t>
            </w:r>
          </w:p>
        </w:tc>
      </w:tr>
      <w:tr>
        <w:tc>
          <w:tcPr>
            <w:tcW w:w="4747" w:type="dxa"/>
            <w:vAlign w:val="top"/>
          </w:tcPr>
          <w:p>
            <w:pPr>
              <w:spacing w:before="0" w:after="0"/>
              <w:jc w:val="center"/>
            </w:pPr>
            <w:r>
              <w:rPr>
                <w:rFonts w:ascii="Times New Roman" w:eastAsia="Times New Roman" w:hAnsi="Times New Roman" w:cs="Times New Roman"/>
                <w:b w:val="0"/>
                <w:sz w:val="20"/>
              </w:rPr>
              <w:t>Toplam</w:t>
            </w:r>
          </w:p>
        </w:tc>
        <w:tc>
          <w:tcPr>
            <w:tcW w:w="4273" w:type="dxa"/>
            <w:vAlign w:val="top"/>
          </w:tcPr>
          <w:p>
            <w:pPr>
              <w:spacing w:before="0" w:after="0"/>
              <w:jc w:val="center"/>
            </w:pPr>
            <w:r>
              <w:rPr>
                <w:rFonts w:ascii="Times New Roman" w:eastAsia="Times New Roman" w:hAnsi="Times New Roman" w:cs="Times New Roman"/>
                <w:b w:val="0"/>
                <w:sz w:val="20"/>
              </w:rPr>
              <w:t>4.000.000,00</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3.1. Gerçekleşen Mal İhracatı</w:t>
      </w:r>
    </w:p>
    <w:p>
      <w:pPr>
        <w:spacing w:before="0" w:after="120"/>
        <w:jc w:val="both"/>
      </w:pPr>
      <w:r>
        <w:rPr>
          <w:rFonts w:ascii="Times New Roman" w:eastAsia="Times New Roman" w:hAnsi="Times New Roman" w:cs="Times New Roman"/>
          <w:b w:val="0"/>
          <w:i w:val="0"/>
          <w:sz w:val="20"/>
        </w:rPr>
        <w:t>Mükellefin KDVK. 11/1-a ve 12/1-a maddeleri çerçevesinde, ihracat teslimlerine ilişkin malların ihraç edildiği ve bu teslimlerin toplam tutarının 4.000.000,00 TL olduğu görülmüş olup, fiili ihracatın gerçekleştiği anlaşılmıştır. Mal ihracına ait satış faturalarının, müşavirliğimizce yapılan inceleme sonucunda raporumuzda yapılan diğer açıklamalar göz önüne alınarak doğru ve gerçeği yansıttığı anlaşılmaktadır.</w:t>
      </w:r>
    </w:p>
    <w:p>
      <w:pPr>
        <w:spacing w:before="0" w:after="120"/>
        <w:jc w:val="both"/>
      </w:pPr>
      <w:r>
        <w:rPr>
          <w:rFonts w:ascii="Times New Roman" w:eastAsia="Times New Roman" w:hAnsi="Times New Roman" w:cs="Times New Roman"/>
          <w:b w:val="0"/>
          <w:i w:val="0"/>
          <w:sz w:val="20"/>
        </w:rPr>
        <w:t>İhraç edilen mallar ile ilgili yapılan yazılı ve sözlü anlaşmalara uygun olarak; ilgili dönem satış faturaları incelendiğinde tüm faturaların ilgili mevzuata uygun olarak düzenlendiği görülmüştür.</w:t>
      </w:r>
    </w:p>
    <w:p>
      <w:pPr>
        <w:spacing w:before="0" w:after="120"/>
        <w:jc w:val="both"/>
      </w:pPr>
      <w:r>
        <w:rPr>
          <w:rFonts w:ascii="Times New Roman" w:eastAsia="Times New Roman" w:hAnsi="Times New Roman" w:cs="Times New Roman"/>
          <w:b w:val="0"/>
          <w:i w:val="0"/>
          <w:sz w:val="20"/>
        </w:rPr>
        <w:t>3065 sayılı KDV Kanununun; 1/1 inci maddesinde, Türkiye'de ticari, sınai, zirai faaliyet ve serbest meslek faaliyeti çerçevesinde yapılan teslim ve hizmetlerin KDV ye tabi olduğu; 11/1-a maddesinde, ihracat teslimleri ve bu teslimlere ilişkin hizmetler ile yurt dışındaki müşteriler için yapılan hizmetlerin KDV den istisna olduğu; 12’nci maddesinde, bir teslimin ihracat teslimi sayılabilmesi için, teslimin yurt dışındaki bir müşteriye yapılması ve teslim konusu malın T.C. gümrük bölgesinden çıkarak bir dış ülkeye vasıl olması şartlarının yerine getirilmiş olması gerektiği; 32 nci maddesinde, Kanunun 11, 13, 14 ve 15 inci maddeleri ile 17 nci maddenin (4) numaralı fıkrasının (s) bendi uyarınca vergiden istisna edilmiş bulunan işlemlerle ilgili fatura ve benzeri vesikalarda gösterilen KDV nin, mükellefin vergiye tabi işlemleri üzerinden hesaplanacak KDV den indirileceği, vergiye tabi işlemlerin olmaması veya hesaplanan verginin indirilecek vergiden az olması hallerinde indirilemeyen katma değer vergisinin, Maliye Bakanlığınca tespit edilecek esaslara göre bu işlemleri yapanlara iade edileceği, hükme bağlanmıştır.</w:t>
      </w:r>
    </w:p>
    <w:p>
      <w:pPr>
        <w:spacing w:before="0" w:after="120"/>
        <w:jc w:val="both"/>
      </w:pPr>
      <w:r>
        <w:rPr>
          <w:rFonts w:ascii="Times New Roman" w:eastAsia="Times New Roman" w:hAnsi="Times New Roman" w:cs="Times New Roman"/>
          <w:b w:val="0"/>
          <w:i w:val="0"/>
          <w:sz w:val="20"/>
        </w:rPr>
        <w:t>Bu nedenle, iadeye konu teslimlere ilişkin olarak  TL KDV’nin tamamının mükellefe nakden veya mahsuben iade edilmesi gerekmektedir.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3.2. İhraç Edilen Malların Satış Faturaları ve Gümrük Beyannameleri</w:t>
      </w:r>
    </w:p>
    <w:p>
      <w:pPr>
        <w:spacing w:before="0" w:after="120"/>
        <w:jc w:val="both"/>
      </w:pPr>
      <w:r>
        <w:rPr>
          <w:rFonts w:ascii="Times New Roman" w:eastAsia="Times New Roman" w:hAnsi="Times New Roman" w:cs="Times New Roman"/>
          <w:b w:val="0"/>
          <w:i w:val="0"/>
          <w:sz w:val="20"/>
        </w:rPr>
        <w:t>İndirilecek KDV listeleri, yüklenilen KDV listesi, satış faturaları listesi, iadesi talep edilen KDV hesaplama listesi ve gümrük beyanname listesi “60 Seri No.lu KDV Sirkülerinin 6. Maddesi 2. Bendi” uyarınca elektronik ortamda Gelir İdaresi Başkanlığı sistemine yüklenmiştir.</w:t>
      </w:r>
    </w:p>
    <w:p>
      <w:pPr>
        <w:spacing w:before="0" w:after="120"/>
        <w:jc w:val="both"/>
      </w:pPr>
      <w:r>
        <w:rPr>
          <w:rFonts w:ascii="Times New Roman" w:eastAsia="Times New Roman" w:hAnsi="Times New Roman" w:cs="Times New Roman"/>
          <w:b w:val="0"/>
          <w:i w:val="0"/>
          <w:sz w:val="20"/>
        </w:rPr>
        <w:t>3065 sayılı KDV Kanunu’nun 11/1-a ve 12/1-a maddelerine ilişkin teslimlere ait Gümrük Beyannameleri listesi ile ihracat işlemine ait satış faturaları listesi internet vergi dairesi üzerinden sunulmuştur.</w:t>
      </w:r>
    </w:p>
    <w:p>
      <w:pPr>
        <w:spacing w:before="0" w:after="120"/>
        <w:jc w:val="both"/>
      </w:pPr>
      <w:r>
        <w:rPr>
          <w:rFonts w:ascii="Times New Roman" w:eastAsia="Times New Roman" w:hAnsi="Times New Roman" w:cs="Times New Roman"/>
          <w:b w:val="0"/>
          <w:i w:val="0"/>
          <w:sz w:val="20"/>
        </w:rPr>
        <w:t>2025 Yılının Mart Aylık Döneminde gerçekleşen ihracatın tamamı Gümrük Müdürlüğü aracılığıyla yurt dışı edilmiştir.</w:t>
      </w:r>
    </w:p>
    <w:p>
      <w:pPr>
        <w:spacing w:before="0" w:after="120"/>
        <w:jc w:val="both"/>
      </w:pPr>
      <w:r>
        <w:rPr>
          <w:rFonts w:ascii="Times New Roman" w:eastAsia="Times New Roman" w:hAnsi="Times New Roman" w:cs="Times New Roman"/>
          <w:b w:val="0"/>
          <w:i w:val="0"/>
          <w:sz w:val="20"/>
        </w:rPr>
        <w:t>İlgili Gümrük Beyannamelerine ilişkin olarak yapılan incelemede:</w:t>
      </w:r>
    </w:p>
    <w:p>
      <w:pPr>
        <w:spacing w:before="0" w:after="120"/>
        <w:jc w:val="both"/>
      </w:pPr>
      <w:r>
        <w:rPr>
          <w:rFonts w:ascii="Times New Roman" w:eastAsia="Times New Roman" w:hAnsi="Times New Roman" w:cs="Times New Roman"/>
          <w:b w:val="0"/>
          <w:i w:val="0"/>
          <w:sz w:val="20"/>
        </w:rPr>
        <w:t>i- Alıcının unvan ve adres bilgilerinin belirtildiği,</w:t>
      </w:r>
    </w:p>
    <w:p>
      <w:pPr>
        <w:spacing w:before="0" w:after="120"/>
        <w:jc w:val="both"/>
      </w:pPr>
      <w:r>
        <w:rPr>
          <w:rFonts w:ascii="Times New Roman" w:eastAsia="Times New Roman" w:hAnsi="Times New Roman" w:cs="Times New Roman"/>
          <w:b w:val="0"/>
          <w:i w:val="0"/>
          <w:sz w:val="20"/>
        </w:rPr>
        <w:t>ii- İhraç edilen malların, cins ve miktarlarına yer verildiği, ihracat fatura bilgileri ile G.B.’nin uyumlu olduğu,</w:t>
      </w:r>
    </w:p>
    <w:p>
      <w:pPr>
        <w:spacing w:before="0" w:after="120"/>
        <w:jc w:val="both"/>
      </w:pPr>
      <w:r>
        <w:rPr>
          <w:rFonts w:ascii="Times New Roman" w:eastAsia="Times New Roman" w:hAnsi="Times New Roman" w:cs="Times New Roman"/>
          <w:b w:val="0"/>
          <w:i w:val="0"/>
          <w:sz w:val="20"/>
        </w:rPr>
        <w:t>iii- İhraç edilen mamullerin tedarikçilerinin muhtelif zamanlarda alış yapılan yurtiçi satıcılar olduğu,</w:t>
      </w:r>
    </w:p>
    <w:p>
      <w:pPr>
        <w:spacing w:before="0" w:after="120"/>
        <w:jc w:val="both"/>
      </w:pPr>
      <w:r>
        <w:rPr>
          <w:rFonts w:ascii="Times New Roman" w:eastAsia="Times New Roman" w:hAnsi="Times New Roman" w:cs="Times New Roman"/>
          <w:b w:val="0"/>
          <w:i w:val="0"/>
          <w:sz w:val="20"/>
        </w:rPr>
        <w:t>görülmüştür. Tespit edilen bu hususlar KDV İade işlemleri açısından herhangi bir olumsuzluk ifade etmemektedir.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3.3. Hesaplanan ve İndirilecek KDV Tutarlarının Doğruluğu:</w:t>
      </w:r>
    </w:p>
    <w:p>
      <w:pPr>
        <w:spacing w:before="0" w:after="120"/>
        <w:jc w:val="both"/>
      </w:pPr>
      <w:r>
        <w:rPr>
          <w:rFonts w:ascii="Times New Roman" w:eastAsia="Times New Roman" w:hAnsi="Times New Roman" w:cs="Times New Roman"/>
          <w:b w:val="0"/>
          <w:i w:val="0"/>
          <w:sz w:val="20"/>
        </w:rPr>
        <w:t>Mükellef indirilen KDV tutarlarını ayrıştırarak hesaplamakta olup mal ve hizmet alışlarına ilişkin faturaları tarih ve numaralarıyla düzenleyen mükelleflerin adı soyadı veya unvanı, vergi dairesi ve hesap numarasına ilişkin bilgileri içeren, İnceleme Dönemlerine Ait Alış Faturalarının Listesini içeren İndirilen KDV Listesi excel ortamında internet vergi dairesi üzerinden sisteme yüklenmiştir. Mükellef nezdinde yapılan incelemede Hesaplanan K.D.V ve İndirilecek KDV’ne dayanak teşkil eden faturalar için, yapılan incelemeler ve alt incelemeler sonucu, gerçek mal ve hizmet hareketlerini yansıtan, yürürlükteki kanunlar gereği ve usulüne uygun olarak tanzim edilmiş, ticari vesaik olduğu sonucuna varılmıştır.</w:t>
      </w:r>
    </w:p>
    <w:p>
      <w:pPr>
        <w:spacing w:before="0" w:after="120"/>
        <w:jc w:val="both"/>
      </w:pPr>
      <w:r>
        <w:rPr>
          <w:rFonts w:ascii="Times New Roman" w:eastAsia="Times New Roman" w:hAnsi="Times New Roman" w:cs="Times New Roman"/>
          <w:b w:val="0"/>
          <w:i w:val="0"/>
          <w:sz w:val="20"/>
        </w:rPr>
        <w:t>Mükellefin mal alış sistematiği düzenli ve dönemler itibariyle tutarlı olup, bu hususta önemli farklılaşmalar olmamıştır.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3.4. Yüklenilen KDV’nin Hesabı:</w:t>
      </w:r>
    </w:p>
    <w:p>
      <w:pPr>
        <w:spacing w:before="0" w:after="120"/>
        <w:jc w:val="both"/>
      </w:pPr>
      <w:r>
        <w:rPr>
          <w:rFonts w:ascii="Times New Roman" w:eastAsia="Times New Roman" w:hAnsi="Times New Roman" w:cs="Times New Roman"/>
          <w:b w:val="0"/>
          <w:i w:val="0"/>
          <w:sz w:val="20"/>
        </w:rPr>
        <w:t>Mükellef yüklendiği KDV tutarlarını ayrıştırarak hesaplamakta olup mal ve hizmet alışlarına ilişkin faturaları tarih ve numaralarıyla düzenleyen mükelleflerin adı soyadı veya unvanı, vergi dairesi ve hesap numarasına ilişkin bilgileri içeren, İnceleme Dönemlerine Ait Alış Faturalarının Listesini içeren Yüklenilen KDV Listesi excel ortamında internet vergi dairesi üzerinden sisteme yüklenmiştir.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3.4.1 Yüklenilen KDV Hesabı</w:t>
      </w:r>
    </w:p>
    <w:p>
      <w:pPr>
        <w:spacing w:before="0" w:after="120"/>
        <w:jc w:val="both"/>
      </w:pPr>
      <w:r>
        <w:rPr>
          <w:rFonts w:ascii="Times New Roman" w:eastAsia="Times New Roman" w:hAnsi="Times New Roman" w:cs="Times New Roman"/>
          <w:b w:val="0"/>
          <w:i w:val="0"/>
          <w:sz w:val="20"/>
        </w:rPr>
        <w:t>2025 Yılının Mart Aylık Döneminde yüklenilen KDV tutarları ve iadesi istenilen KDV tutarları aşağıdaki tabloda gösterilmiştir. (TL)</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1171"/>
        <w:gridCol w:w="1132"/>
        <w:gridCol w:w="1171"/>
        <w:gridCol w:w="1171"/>
        <w:gridCol w:w="1171"/>
        <w:gridCol w:w="1171"/>
        <w:gridCol w:w="1171"/>
        <w:gridCol w:w="859"/>
      </w:tblGrid>
      <w:tr>
        <w:tc>
          <w:tcPr>
            <w:tcW w:w="1171" w:type="dxa"/>
            <w:vAlign w:val="top"/>
          </w:tcPr>
          <w:p>
            <w:pPr>
              <w:spacing w:before="0" w:after="0"/>
              <w:jc w:val="center"/>
            </w:pPr>
            <w:r>
              <w:rPr>
                <w:rFonts w:ascii="Times New Roman" w:eastAsia="Times New Roman" w:hAnsi="Times New Roman" w:cs="Times New Roman"/>
                <w:b w:val="0"/>
                <w:sz w:val="20"/>
              </w:rPr>
              <w:t>Dönem</w:t>
            </w:r>
          </w:p>
        </w:tc>
        <w:tc>
          <w:tcPr>
            <w:tcW w:w="1132" w:type="dxa"/>
            <w:vAlign w:val="top"/>
          </w:tcPr>
          <w:p>
            <w:pPr>
              <w:spacing w:before="0" w:after="0"/>
              <w:jc w:val="center"/>
            </w:pPr>
            <w:r>
              <w:rPr>
                <w:rFonts w:ascii="Times New Roman" w:eastAsia="Times New Roman" w:hAnsi="Times New Roman" w:cs="Times New Roman"/>
                <w:b w:val="0"/>
                <w:sz w:val="20"/>
              </w:rPr>
              <w:t>İade Hakkı Doğuran İşlem Türü</w:t>
            </w:r>
          </w:p>
        </w:tc>
        <w:tc>
          <w:tcPr>
            <w:tcW w:w="1171" w:type="dxa"/>
            <w:vAlign w:val="top"/>
          </w:tcPr>
          <w:p>
            <w:pPr>
              <w:spacing w:before="0" w:after="0"/>
              <w:jc w:val="center"/>
            </w:pPr>
            <w:r>
              <w:rPr>
                <w:rFonts w:ascii="Times New Roman" w:eastAsia="Times New Roman" w:hAnsi="Times New Roman" w:cs="Times New Roman"/>
                <w:b w:val="0"/>
                <w:sz w:val="20"/>
              </w:rPr>
              <w:t>İade Hakkı Doğuran İşlem Bedeli</w:t>
            </w:r>
          </w:p>
        </w:tc>
        <w:tc>
          <w:tcPr>
            <w:tcW w:w="1171" w:type="dxa"/>
            <w:vAlign w:val="top"/>
          </w:tcPr>
          <w:p>
            <w:pPr>
              <w:spacing w:before="0" w:after="0"/>
              <w:jc w:val="center"/>
            </w:pPr>
            <w:r>
              <w:rPr>
                <w:rFonts w:ascii="Times New Roman" w:eastAsia="Times New Roman" w:hAnsi="Times New Roman" w:cs="Times New Roman"/>
                <w:b w:val="0"/>
                <w:sz w:val="20"/>
              </w:rPr>
              <w:t>İadesi Talep Edilebilir Azami Vergi</w:t>
            </w:r>
          </w:p>
        </w:tc>
        <w:tc>
          <w:tcPr>
            <w:tcW w:w="1171" w:type="dxa"/>
            <w:vAlign w:val="top"/>
          </w:tcPr>
          <w:p>
            <w:pPr>
              <w:spacing w:before="0" w:after="0"/>
              <w:jc w:val="center"/>
            </w:pPr>
            <w:r>
              <w:rPr>
                <w:rFonts w:ascii="Times New Roman" w:eastAsia="Times New Roman" w:hAnsi="Times New Roman" w:cs="Times New Roman"/>
                <w:b w:val="0"/>
                <w:sz w:val="20"/>
              </w:rPr>
              <w:t>İşlemin Bünyesine Doğrudan Giren Vergiler</w:t>
            </w:r>
          </w:p>
        </w:tc>
        <w:tc>
          <w:tcPr>
            <w:tcW w:w="1171" w:type="dxa"/>
            <w:vAlign w:val="top"/>
          </w:tcPr>
          <w:p>
            <w:pPr>
              <w:spacing w:before="0" w:after="0"/>
              <w:jc w:val="center"/>
            </w:pPr>
            <w:r>
              <w:rPr>
                <w:rFonts w:ascii="Times New Roman" w:eastAsia="Times New Roman" w:hAnsi="Times New Roman" w:cs="Times New Roman"/>
                <w:b w:val="0"/>
                <w:sz w:val="20"/>
              </w:rPr>
              <w:t>Genel İmal ve İdare Giderlerinden İade Hesabına Verilen Pay</w:t>
            </w:r>
          </w:p>
        </w:tc>
        <w:tc>
          <w:tcPr>
            <w:tcW w:w="1171" w:type="dxa"/>
            <w:vAlign w:val="top"/>
          </w:tcPr>
          <w:p>
            <w:pPr>
              <w:spacing w:before="0" w:after="0"/>
              <w:jc w:val="center"/>
            </w:pPr>
            <w:r>
              <w:rPr>
                <w:rFonts w:ascii="Times New Roman" w:eastAsia="Times New Roman" w:hAnsi="Times New Roman" w:cs="Times New Roman"/>
                <w:b w:val="0"/>
                <w:sz w:val="20"/>
              </w:rPr>
              <w:t>Atik'ler Nedeniyle Yüklenilen Vergiden İade Hesabına Verilen Pay</w:t>
            </w:r>
          </w:p>
        </w:tc>
        <w:tc>
          <w:tcPr>
            <w:tcW w:w="859" w:type="dxa"/>
            <w:vAlign w:val="top"/>
          </w:tcPr>
          <w:p>
            <w:pPr>
              <w:spacing w:before="0" w:after="0"/>
              <w:jc w:val="center"/>
            </w:pPr>
            <w:r>
              <w:rPr>
                <w:rFonts w:ascii="Times New Roman" w:eastAsia="Times New Roman" w:hAnsi="Times New Roman" w:cs="Times New Roman"/>
                <w:b w:val="0"/>
                <w:sz w:val="20"/>
              </w:rPr>
              <w:t>Yüklenilen KDV Toplamı</w:t>
            </w:r>
          </w:p>
        </w:tc>
      </w:tr>
      <w:tr>
        <w:tc>
          <w:tcPr>
            <w:tcW w:w="1171" w:type="dxa"/>
            <w:vAlign w:val="top"/>
          </w:tcPr>
          <w:p>
            <w:pPr>
              <w:spacing w:before="0" w:after="0"/>
              <w:jc w:val="center"/>
            </w:pPr>
            <w:r>
              <w:rPr>
                <w:rFonts w:ascii="Times New Roman" w:eastAsia="Times New Roman" w:hAnsi="Times New Roman" w:cs="Times New Roman"/>
                <w:b w:val="0"/>
                <w:sz w:val="20"/>
              </w:rPr>
              <w:t>2025 Yılının Mart Aylık Dönemi</w:t>
            </w:r>
          </w:p>
        </w:tc>
        <w:tc>
          <w:tcPr>
            <w:tcW w:w="1132" w:type="dxa"/>
            <w:vAlign w:val="top"/>
          </w:tcPr>
          <w:p>
            <w:pPr>
              <w:spacing w:before="0" w:after="0"/>
              <w:jc w:val="center"/>
            </w:pPr>
            <w:r>
              <w:rPr>
                <w:rFonts w:ascii="Times New Roman" w:eastAsia="Times New Roman" w:hAnsi="Times New Roman" w:cs="Times New Roman"/>
                <w:b w:val="0"/>
                <w:sz w:val="20"/>
              </w:rPr>
              <w:t>301</w:t>
            </w:r>
          </w:p>
        </w:tc>
        <w:tc>
          <w:tcPr>
            <w:tcW w:w="1171" w:type="dxa"/>
            <w:vAlign w:val="top"/>
          </w:tcPr>
          <w:p>
            <w:pPr>
              <w:spacing w:before="0" w:after="0"/>
              <w:jc w:val="center"/>
            </w:pPr>
            <w:r>
              <w:rPr>
                <w:rFonts w:ascii="Times New Roman" w:eastAsia="Times New Roman" w:hAnsi="Times New Roman" w:cs="Times New Roman"/>
                <w:b w:val="0"/>
                <w:sz w:val="20"/>
              </w:rPr>
              <w:t>4.000.000,00</w:t>
            </w:r>
          </w:p>
        </w:tc>
        <w:tc>
          <w:tcPr>
            <w:tcW w:w="1171" w:type="dxa"/>
            <w:vAlign w:val="top"/>
          </w:tcPr>
          <w:p>
            <w:pPr>
              <w:spacing w:before="0" w:after="0"/>
              <w:jc w:val="center"/>
            </w:pPr>
            <w:r>
              <w:rPr>
                <w:rFonts w:ascii="Times New Roman" w:eastAsia="Times New Roman" w:hAnsi="Times New Roman" w:cs="Times New Roman"/>
                <w:b w:val="0"/>
                <w:sz w:val="20"/>
              </w:rPr>
              <w:t>800.000,00</w:t>
            </w:r>
          </w:p>
        </w:tc>
        <w:tc>
          <w:tcPr>
            <w:tcW w:w="1171" w:type="dxa"/>
            <w:vAlign w:val="top"/>
          </w:tcPr>
          <w:p>
            <w:pPr>
              <w:spacing w:before="0" w:after="0"/>
              <w:jc w:val="center"/>
            </w:pPr>
            <w:r>
              <w:rPr>
                <w:rFonts w:ascii="Times New Roman" w:eastAsia="Times New Roman" w:hAnsi="Times New Roman" w:cs="Times New Roman"/>
                <w:b w:val="0"/>
                <w:sz w:val="20"/>
              </w:rPr>
              <w:t/>
            </w:r>
          </w:p>
        </w:tc>
        <w:tc>
          <w:tcPr>
            <w:tcW w:w="1171" w:type="dxa"/>
            <w:vAlign w:val="top"/>
          </w:tcPr>
          <w:p>
            <w:pPr>
              <w:spacing w:before="0" w:after="0"/>
              <w:jc w:val="center"/>
            </w:pPr>
            <w:r>
              <w:rPr>
                <w:rFonts w:ascii="Times New Roman" w:eastAsia="Times New Roman" w:hAnsi="Times New Roman" w:cs="Times New Roman"/>
                <w:b w:val="0"/>
                <w:sz w:val="20"/>
              </w:rPr>
              <w:t/>
            </w:r>
          </w:p>
        </w:tc>
        <w:tc>
          <w:tcPr>
            <w:tcW w:w="1171" w:type="dxa"/>
            <w:vAlign w:val="top"/>
          </w:tcPr>
          <w:p>
            <w:pPr>
              <w:spacing w:before="0" w:after="0"/>
              <w:jc w:val="center"/>
            </w:pPr>
            <w:r>
              <w:rPr>
                <w:rFonts w:ascii="Times New Roman" w:eastAsia="Times New Roman" w:hAnsi="Times New Roman" w:cs="Times New Roman"/>
                <w:b w:val="0"/>
                <w:sz w:val="20"/>
              </w:rPr>
              <w:t/>
            </w:r>
          </w:p>
        </w:tc>
        <w:tc>
          <w:tcPr>
            <w:tcW w:w="859" w:type="dxa"/>
            <w:vAlign w:val="top"/>
          </w:tcPr>
          <w:p>
            <w:pPr>
              <w:spacing w:before="0" w:after="0"/>
              <w:jc w:val="center"/>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Mükellef kurum tarafından 2025 Yılının Mart Aylık Döneminde yüklendiği toplam  TL KDV’nin tamamının nakden veya mahsuben iade edilmesi gerekmektedir.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3.4.2 İnceleme Oranı ve Karşıt İnceleme Tutanakları</w:t>
      </w:r>
    </w:p>
    <w:p>
      <w:pPr>
        <w:spacing w:before="0" w:after="120"/>
        <w:jc w:val="both"/>
      </w:pPr>
      <w:r>
        <w:rPr>
          <w:rFonts w:ascii="Times New Roman" w:eastAsia="Times New Roman" w:hAnsi="Times New Roman" w:cs="Times New Roman"/>
          <w:b w:val="0"/>
          <w:i w:val="0"/>
          <w:sz w:val="20"/>
        </w:rPr>
        <w:t>29 No.lu YMM Genel Tebliğinin II numaralı bölümünde ise, indirilecek KDV’nin üçte biri veya daha fazlasının karşıt inceleme yapma zorunluluğu kapsamı dışında bırakılan mal ve hizmet alımlarından oluşması halinde bu kapsamdaki mal ve hizmet alımları ile ilgili indirilecek KDV’nin yarısının incelenmesinin yeterli olacağı belirtilmiştir. Mükellef kurumun inceleme dönemleri itibariyle asgari sınırları aşan mal veya hizmet alımlarının tamamı incelenmiştir. Tarafımızdan yapılan karşıt incelemeler sonucunda; ilgili dönemlerde satıcılar tarafından hesap edilen KDV’lerin verilen beyannamelerde beyan edildiği görülmüş, hesapladığı KDV’yi beyan etmeyen bir satıcı firma tespit edilmemiştir. İnceleme döneminde, karşıt incelemeleri için tutanak hazırlanırken ilgili döneme ait alış faturaları listesi göz önüne alınmıştır.</w:t>
      </w:r>
    </w:p>
    <w:p>
      <w:pPr>
        <w:spacing w:before="0" w:after="120"/>
        <w:jc w:val="both"/>
      </w:pPr>
      <w:r>
        <w:rPr>
          <w:rFonts w:ascii="Times New Roman" w:eastAsia="Times New Roman" w:hAnsi="Times New Roman" w:cs="Times New Roman"/>
          <w:b w:val="0"/>
          <w:i w:val="0"/>
          <w:sz w:val="20"/>
        </w:rPr>
        <w:t>27 No.lu YMM Genel Tebliği’nde karşıt inceleme yapma zorunluluğuna ilişkin alt sınırlar her bir belge itibariyle 2025 Takvim Yılı için 65.000 TL; bir dönemde bir mükelleften yapılan alımlar itibariyle de 2025 Takvim Yılı için 195.000 TL olarak belirlenmiş, ancak, bu hadlere bağlı kalınmaksızın, indirilecek katma değer vergisinin asgari % 80’nin her halükarda incelenmesi gerektiği açıklanmıştır.</w:t>
      </w:r>
    </w:p>
    <w:p>
      <w:pPr>
        <w:spacing w:before="0" w:after="120"/>
        <w:jc w:val="both"/>
      </w:pPr>
      <w:r>
        <w:rPr>
          <w:rFonts w:ascii="Times New Roman" w:eastAsia="Times New Roman" w:hAnsi="Times New Roman" w:cs="Times New Roman"/>
          <w:b w:val="0"/>
          <w:i w:val="0"/>
          <w:sz w:val="20"/>
        </w:rPr>
        <w:t>Zorunlu inceleme hadleri (tek belge 65.000 TL, bir mükelleften toplam alım 195.000 TL) kapsamındaki alımlarla birlikte, indirilecek KDV matrahının en az % 80’ine karşıt inceleme yapılmıştır.</w:t>
      </w:r>
    </w:p>
    <w:p>
      <w:pPr>
        <w:spacing w:before="0" w:after="120"/>
        <w:jc w:val="both"/>
      </w:pPr>
      <w:r>
        <w:rPr>
          <w:rFonts w:ascii="Times New Roman" w:eastAsia="Times New Roman" w:hAnsi="Times New Roman" w:cs="Times New Roman"/>
          <w:b w:val="0"/>
          <w:i w:val="0"/>
          <w:sz w:val="20"/>
        </w:rPr>
        <w:t>Mükellef kurumun mal-malzeme-hizmet satın aldığı aşağıda listelenen firmalar nezdinde, müşavirliğimizce yapılan incelemelerde, mükellefin girdi KDV’yi oluşturan mal veya hizmet alışına ilişkin faturaların satıcı firmalar tarafından yasal defterlerine kaydedilmiş olduğu ve ilgili dönem beyannamelerine söz konusu fatura tutarları ile dahil edildiği, bu işlemlerin gerçeği yansıttığı ve doğru olduğu, belirtilen firmaların kapasitelerinin yaptıkları teslimler ile uyumlu ve yeterli olduğu fiilen bu işleri yapmakta oldukları tutanaklarla tespit edilmiştir.</w:t>
      </w:r>
    </w:p>
    <w:p>
      <w:pPr>
        <w:spacing w:before="0" w:after="120"/>
        <w:jc w:val="both"/>
      </w:pPr>
      <w:r>
        <w:rPr>
          <w:rFonts w:ascii="Times New Roman" w:eastAsia="Times New Roman" w:hAnsi="Times New Roman" w:cs="Times New Roman"/>
          <w:b w:val="0"/>
          <w:i w:val="0"/>
          <w:sz w:val="20"/>
        </w:rPr>
        <w:t>Aşağıda listelenen firmaların C/H ekstreleri ve faturaları incelendiğinde alınan hizmetlerin işin niteliğine uygun olduğu, alış ve ödemelerin gerçek durumu yansıttığı, bu firmalarla ilgili herhangi bir tereddüt bulunmadığı sonucuna ulaşılabilmektedir.</w:t>
      </w:r>
    </w:p>
    <w:p>
      <w:pPr>
        <w:spacing w:before="0" w:after="120"/>
        <w:jc w:val="both"/>
      </w:pPr>
      <w:r>
        <w:rPr>
          <w:rFonts w:ascii="Times New Roman" w:eastAsia="Times New Roman" w:hAnsi="Times New Roman" w:cs="Times New Roman"/>
          <w:b w:val="0"/>
          <w:i w:val="0"/>
          <w:sz w:val="20"/>
        </w:rPr>
        <w:t>Mükellef işletmenin mal ve hizmet satın aldığı firmalar nezdinde Müşavirliğimizce yapılan karşıt incelemeler için çıkarılan döküm aşağıdadır.</w:t>
      </w:r>
    </w:p>
    <w:p>
      <w:pPr>
        <w:spacing w:before="0" w:after="120"/>
        <w:jc w:val="both"/>
      </w:pPr>
      <w:r>
        <w:rPr>
          <w:rFonts w:ascii="Times New Roman" w:eastAsia="Times New Roman" w:hAnsi="Times New Roman" w:cs="Times New Roman"/>
          <w:b w:val="0"/>
          <w:i w:val="0"/>
          <w:sz w:val="20"/>
        </w:rPr>
        <w:t>Mükellef işletmenin 2025 Yılının Mart Aylık Döneminde indirilecek KDV listesinde yer alan faturaların tamamı genel giderlerden oluşmaktadır. İhracata konu ürünlerin alışları 2025 Yılının Mart Aylık Döneminde yapılmıştır. Bu nedenle mükellef firmanın 2025 Yılının Mart Aylık Dönemi dönemi yüklenilen KDV listesi incelenmiş olup, incelemeye ilişkin tablo aşağıdaki gibidir.</w:t>
      </w:r>
    </w:p>
    <w:p>
      <w:pPr>
        <w:spacing w:before="0" w:after="120"/>
        <w:jc w:val="both"/>
      </w:pPr>
      <w:r>
        <w:rPr>
          <w:rFonts w:ascii="Times New Roman" w:eastAsia="Times New Roman" w:hAnsi="Times New Roman" w:cs="Times New Roman"/>
          <w:b w:val="0"/>
          <w:i w:val="0"/>
          <w:sz w:val="20"/>
        </w:rPr>
        <w:t>Düzenlenen tüm Tutanak bilgileri aşağıdadır.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1473"/>
        <w:gridCol w:w="1933"/>
        <w:gridCol w:w="1104"/>
        <w:gridCol w:w="1749"/>
        <w:gridCol w:w="1473"/>
        <w:gridCol w:w="1289"/>
      </w:tblGrid>
      <w:tr>
        <w:tc>
          <w:tcPr>
            <w:tcW w:w="1473" w:type="dxa"/>
            <w:vAlign w:val="top"/>
          </w:tcPr>
          <w:p>
            <w:pPr>
              <w:spacing w:before="0" w:after="0"/>
              <w:jc w:val="center"/>
            </w:pPr>
            <w:r>
              <w:rPr>
                <w:rFonts w:ascii="Times New Roman" w:eastAsia="Times New Roman" w:hAnsi="Times New Roman" w:cs="Times New Roman"/>
                <w:b w:val="0"/>
                <w:sz w:val="20"/>
              </w:rPr>
              <w:t>Satıcının Unvanı</w:t>
            </w:r>
          </w:p>
        </w:tc>
        <w:tc>
          <w:tcPr>
            <w:tcW w:w="1933" w:type="dxa"/>
            <w:vAlign w:val="top"/>
          </w:tcPr>
          <w:p>
            <w:pPr>
              <w:spacing w:before="0" w:after="0"/>
              <w:jc w:val="center"/>
            </w:pPr>
            <w:r>
              <w:rPr>
                <w:rFonts w:ascii="Times New Roman" w:eastAsia="Times New Roman" w:hAnsi="Times New Roman" w:cs="Times New Roman"/>
                <w:b w:val="0"/>
                <w:sz w:val="20"/>
              </w:rPr>
              <w:t>Vergi Kimlik Numarası</w:t>
            </w:r>
          </w:p>
        </w:tc>
        <w:tc>
          <w:tcPr>
            <w:tcW w:w="1104" w:type="dxa"/>
            <w:vAlign w:val="top"/>
          </w:tcPr>
          <w:p>
            <w:pPr>
              <w:spacing w:before="0" w:after="0"/>
              <w:jc w:val="center"/>
            </w:pPr>
            <w:r>
              <w:rPr>
                <w:rFonts w:ascii="Times New Roman" w:eastAsia="Times New Roman" w:hAnsi="Times New Roman" w:cs="Times New Roman"/>
                <w:b w:val="0"/>
                <w:sz w:val="20"/>
              </w:rPr>
              <w:t>Fatura Adedi</w:t>
            </w:r>
          </w:p>
        </w:tc>
        <w:tc>
          <w:tcPr>
            <w:tcW w:w="1749" w:type="dxa"/>
            <w:vAlign w:val="top"/>
          </w:tcPr>
          <w:p>
            <w:pPr>
              <w:spacing w:before="0" w:after="0"/>
              <w:jc w:val="center"/>
            </w:pPr>
            <w:r>
              <w:rPr>
                <w:rFonts w:ascii="Times New Roman" w:eastAsia="Times New Roman" w:hAnsi="Times New Roman" w:cs="Times New Roman"/>
                <w:b w:val="0"/>
                <w:sz w:val="20"/>
              </w:rPr>
              <w:t>Matrah Toplamı (TL)</w:t>
            </w:r>
          </w:p>
        </w:tc>
        <w:tc>
          <w:tcPr>
            <w:tcW w:w="1473" w:type="dxa"/>
            <w:vAlign w:val="top"/>
          </w:tcPr>
          <w:p>
            <w:pPr>
              <w:spacing w:before="0" w:after="0"/>
              <w:jc w:val="center"/>
            </w:pPr>
            <w:r>
              <w:rPr>
                <w:rFonts w:ascii="Times New Roman" w:eastAsia="Times New Roman" w:hAnsi="Times New Roman" w:cs="Times New Roman"/>
                <w:b w:val="0"/>
                <w:sz w:val="20"/>
              </w:rPr>
              <w:t>KDV Toplamı (TL)</w:t>
            </w:r>
          </w:p>
        </w:tc>
        <w:tc>
          <w:tcPr>
            <w:tcW w:w="1289" w:type="dxa"/>
            <w:vAlign w:val="top"/>
          </w:tcPr>
          <w:p>
            <w:pPr>
              <w:spacing w:before="0" w:after="0"/>
              <w:jc w:val="center"/>
            </w:pPr>
            <w:r>
              <w:rPr>
                <w:rFonts w:ascii="Times New Roman" w:eastAsia="Times New Roman" w:hAnsi="Times New Roman" w:cs="Times New Roman"/>
                <w:b w:val="0"/>
                <w:sz w:val="20"/>
              </w:rPr>
              <w:t>İnceleme Oranı</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Karşıt inceleme yapılan toplam 0 adet tutanağın tamamı Rapora ek yapılmıştır.</w:t>
      </w:r>
    </w:p>
    <w:p>
      <w:pPr>
        <w:spacing w:before="0" w:after="120"/>
        <w:jc w:val="both"/>
      </w:pPr>
      <w:r>
        <w:rPr>
          <w:rFonts w:ascii="Times New Roman" w:eastAsia="Times New Roman" w:hAnsi="Times New Roman" w:cs="Times New Roman"/>
          <w:b w:val="0"/>
          <w:i w:val="0"/>
          <w:sz w:val="20"/>
        </w:rPr>
        <w:t>Tarafımızdan yapılan karşıt incelemeler sonucunda; ilgili dönemlerde satıcılar tarafından hesap edilen KDV’lerin verilen beyannamelerde beyan edildiği görülmüş, hesapladığı KDV’yi beyan etmeyen bir satıcı firma tespit edilmemiştir. İnceleme döneminde, karşıt incelemeleri için tutanaklar ile YMM teyit talep yazıları hazırlanırken, aylık dönemine ait KDV K.11/1-a’ya istinaden yapılan satışlara ait malların alış faturalarının listesi göz önüne alınmıştır. Düzenlenen tutanaklar ile gelen YMM teyit ve bilgi yazıları yukarıda izah edilen çerçevenin kapsadığı hususlarda uyumludur.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3.4.3. Yapılan Karşıt İncelemelerin Değerlendirilmesi:</w:t>
      </w:r>
    </w:p>
    <w:p>
      <w:pPr>
        <w:spacing w:before="0" w:after="120"/>
        <w:jc w:val="both"/>
      </w:pPr>
      <w:r>
        <w:rPr>
          <w:rFonts w:ascii="Times New Roman" w:eastAsia="Times New Roman" w:hAnsi="Times New Roman" w:cs="Times New Roman"/>
          <w:b w:val="0"/>
          <w:i w:val="0"/>
          <w:sz w:val="20"/>
        </w:rPr>
        <w:t>İadeye konu teslimler ile ilgili alış ve satışa konu olan belgeler ile indirilecek KDV’ne ait belgeler hakkında yapılan karşıt incelemelerin genel değerlendirmesinde;</w:t>
      </w:r>
    </w:p>
    <w:p>
      <w:pPr>
        <w:spacing w:before="0" w:after="120"/>
        <w:jc w:val="both"/>
      </w:pPr>
      <w:r>
        <w:rPr>
          <w:rFonts w:ascii="Times New Roman" w:eastAsia="Times New Roman" w:hAnsi="Times New Roman" w:cs="Times New Roman"/>
          <w:b w:val="0"/>
          <w:i w:val="0"/>
          <w:sz w:val="20"/>
        </w:rPr>
        <w:t>1. İadeye konu mal alış ve satış faturalarının gerçek durumu yansıttığı ve bunların ilgili sevk irsaliyeleri, nakliye giderleri ile ilgili faturaları ve benzeri belgelerle karşılaştırılması ve mal hareketlerinin izlenmesinde miktar ve tutarların doğru olduğu ve alım satımın gerçekte vukuu bulduğu tespit edilmiştir.</w:t>
      </w:r>
    </w:p>
    <w:p>
      <w:pPr>
        <w:spacing w:before="0" w:after="120"/>
        <w:jc w:val="both"/>
      </w:pPr>
      <w:r>
        <w:rPr>
          <w:rFonts w:ascii="Times New Roman" w:eastAsia="Times New Roman" w:hAnsi="Times New Roman" w:cs="Times New Roman"/>
          <w:b w:val="0"/>
          <w:i w:val="0"/>
          <w:sz w:val="20"/>
        </w:rPr>
        <w:t>2. İadeye konu mal alış ve satış bedellerinin nakit akımının izlenmesi suretiyle doğru olduğu, nakit ödemelerinin ve borç-alacak ilişkilerinin usulüne uygun belgelerle irdelenmesi sonucu doğru olduğu ve gerçek de vukuu bulduğu tespit edilmiştir.</w:t>
      </w:r>
    </w:p>
    <w:p>
      <w:pPr>
        <w:spacing w:before="0" w:after="120"/>
        <w:jc w:val="both"/>
      </w:pPr>
      <w:r>
        <w:rPr>
          <w:rFonts w:ascii="Times New Roman" w:eastAsia="Times New Roman" w:hAnsi="Times New Roman" w:cs="Times New Roman"/>
          <w:b w:val="0"/>
          <w:i w:val="0"/>
          <w:sz w:val="20"/>
        </w:rPr>
        <w:t>3. Tasdike dayanak teşkil eden belgeler hukuken gerçeği yansıtmaktadır.</w:t>
      </w:r>
    </w:p>
    <w:p>
      <w:pPr>
        <w:spacing w:before="0" w:after="120"/>
        <w:jc w:val="both"/>
      </w:pPr>
      <w:r>
        <w:rPr>
          <w:rFonts w:ascii="Times New Roman" w:eastAsia="Times New Roman" w:hAnsi="Times New Roman" w:cs="Times New Roman"/>
          <w:b w:val="0"/>
          <w:i w:val="0"/>
          <w:sz w:val="20"/>
        </w:rPr>
        <w:t>4. İlgili firmalar satış bedellerini kanuni defterlerine hasılat olarak kayıt etmiş ve KDV Beyannamesi ile beyan etmişlerdir.</w:t>
      </w:r>
    </w:p>
    <w:p>
      <w:pPr>
        <w:spacing w:before="0" w:after="120"/>
        <w:jc w:val="both"/>
      </w:pPr>
      <w:r>
        <w:rPr>
          <w:rFonts w:ascii="Times New Roman" w:eastAsia="Times New Roman" w:hAnsi="Times New Roman" w:cs="Times New Roman"/>
          <w:b w:val="0"/>
          <w:i w:val="0"/>
          <w:sz w:val="20"/>
        </w:rPr>
        <w:t>5.Firmanın, karşıt inceleme kapsamındaki mal satın aldığı mükellefler hakkında sahte veya muhteviyatı itibariyle yanıltıcı belge düzenlediği veya kullandığı konusunda vergi inceleme raporu veya bu hususlarla ilgili herhangi bir tespit bulunmamaktadır.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3.5. İadesi Gereken KDV’nin Hesaplanması</w:t>
      </w:r>
    </w:p>
    <w:p>
      <w:pPr>
        <w:spacing w:before="0" w:after="120"/>
        <w:jc w:val="both"/>
      </w:pPr>
      <w:r>
        <w:rPr>
          <w:rFonts w:ascii="Times New Roman" w:eastAsia="Times New Roman" w:hAnsi="Times New Roman" w:cs="Times New Roman"/>
          <w:b w:val="0"/>
          <w:i w:val="0"/>
          <w:sz w:val="20"/>
        </w:rPr>
        <w:t>Mükellefin yukarıda belirtilen ihracatları nedeniyle yüklendiği ve indirim konusu yapamadığı ve dolayısıyla iadesini talep ettiği KDV aşağıdaki gibidir.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2066"/>
        <w:gridCol w:w="2066"/>
        <w:gridCol w:w="1446"/>
        <w:gridCol w:w="1377"/>
        <w:gridCol w:w="2066"/>
      </w:tblGrid>
      <w:tr>
        <w:tc>
          <w:tcPr>
            <w:tcW w:w="2066" w:type="dxa"/>
            <w:vAlign w:val="top"/>
          </w:tcPr>
          <w:p>
            <w:pPr>
              <w:spacing w:before="0" w:after="0"/>
              <w:jc w:val="center"/>
            </w:pPr>
            <w:r>
              <w:rPr>
                <w:rFonts w:ascii="Times New Roman" w:eastAsia="Times New Roman" w:hAnsi="Times New Roman" w:cs="Times New Roman"/>
                <w:b w:val="0"/>
                <w:sz w:val="20"/>
              </w:rPr>
              <w:t>DÖNEMİ</w:t>
            </w:r>
          </w:p>
        </w:tc>
        <w:tc>
          <w:tcPr>
            <w:tcW w:w="2066" w:type="dxa"/>
            <w:vAlign w:val="top"/>
          </w:tcPr>
          <w:p>
            <w:pPr>
              <w:spacing w:before="0" w:after="0"/>
              <w:jc w:val="center"/>
            </w:pPr>
            <w:r>
              <w:rPr>
                <w:rFonts w:ascii="Times New Roman" w:eastAsia="Times New Roman" w:hAnsi="Times New Roman" w:cs="Times New Roman"/>
                <w:b w:val="0"/>
                <w:sz w:val="20"/>
              </w:rPr>
              <w:t>ÖNCEKİ DÖNEMDEN DEVREDEN KDV (TL)</w:t>
            </w:r>
          </w:p>
        </w:tc>
        <w:tc>
          <w:tcPr>
            <w:tcW w:w="1446" w:type="dxa"/>
            <w:vAlign w:val="top"/>
          </w:tcPr>
          <w:p>
            <w:pPr>
              <w:spacing w:before="0" w:after="0"/>
              <w:jc w:val="center"/>
            </w:pPr>
            <w:r>
              <w:rPr>
                <w:rFonts w:ascii="Times New Roman" w:eastAsia="Times New Roman" w:hAnsi="Times New Roman" w:cs="Times New Roman"/>
                <w:b w:val="0"/>
                <w:sz w:val="20"/>
              </w:rPr>
              <w:t>BU DÖNEM İND.KDV (TL)</w:t>
            </w:r>
          </w:p>
        </w:tc>
        <w:tc>
          <w:tcPr>
            <w:tcW w:w="1377" w:type="dxa"/>
            <w:vAlign w:val="top"/>
          </w:tcPr>
          <w:p>
            <w:pPr>
              <w:spacing w:before="0" w:after="0"/>
              <w:jc w:val="center"/>
            </w:pPr>
            <w:r>
              <w:rPr>
                <w:rFonts w:ascii="Times New Roman" w:eastAsia="Times New Roman" w:hAnsi="Times New Roman" w:cs="Times New Roman"/>
                <w:b w:val="0"/>
                <w:sz w:val="20"/>
              </w:rPr>
              <w:t>TOPLAM İND. KDV (TL)</w:t>
            </w:r>
          </w:p>
        </w:tc>
        <w:tc>
          <w:tcPr>
            <w:tcW w:w="2066" w:type="dxa"/>
            <w:vAlign w:val="top"/>
          </w:tcPr>
          <w:p>
            <w:pPr>
              <w:spacing w:before="0" w:after="0"/>
              <w:jc w:val="center"/>
            </w:pPr>
            <w:r>
              <w:rPr>
                <w:rFonts w:ascii="Times New Roman" w:eastAsia="Times New Roman" w:hAnsi="Times New Roman" w:cs="Times New Roman"/>
                <w:b w:val="0"/>
                <w:sz w:val="20"/>
              </w:rPr>
              <w:t>İHRACAT NEDENİYLE İADESİ TALEP EDİLEN KDV (TL)</w:t>
            </w:r>
          </w:p>
        </w:tc>
      </w:tr>
      <w:tr>
        <w:tc>
          <w:tcPr>
            <w:tcW w:w="2066" w:type="dxa"/>
            <w:vAlign w:val="top"/>
          </w:tcPr>
          <w:p>
            <w:pPr>
              <w:spacing w:before="0" w:after="0"/>
              <w:jc w:val="center"/>
            </w:pPr>
            <w:r>
              <w:rPr>
                <w:rFonts w:ascii="Times New Roman" w:eastAsia="Times New Roman" w:hAnsi="Times New Roman" w:cs="Times New Roman"/>
                <w:b w:val="0"/>
                <w:sz w:val="20"/>
              </w:rPr>
              <w:t>2025 Yılının Mart Aylık Dönemi</w:t>
            </w:r>
          </w:p>
        </w:tc>
        <w:tc>
          <w:tcPr>
            <w:tcW w:w="2066" w:type="dxa"/>
            <w:vAlign w:val="top"/>
          </w:tcPr>
          <w:p>
            <w:pPr>
              <w:spacing w:before="0" w:after="0"/>
              <w:jc w:val="center"/>
            </w:pPr>
            <w:r>
              <w:rPr>
                <w:rFonts w:ascii="Times New Roman" w:eastAsia="Times New Roman" w:hAnsi="Times New Roman" w:cs="Times New Roman"/>
                <w:b w:val="0"/>
                <w:sz w:val="20"/>
              </w:rPr>
              <w:t>1.036.000,00</w:t>
            </w:r>
          </w:p>
        </w:tc>
        <w:tc>
          <w:tcPr>
            <w:tcW w:w="1446" w:type="dxa"/>
            <w:vAlign w:val="top"/>
          </w:tcPr>
          <w:p>
            <w:pPr>
              <w:spacing w:before="0" w:after="0"/>
              <w:jc w:val="center"/>
            </w:pPr>
            <w:r>
              <w:rPr>
                <w:rFonts w:ascii="Times New Roman" w:eastAsia="Times New Roman" w:hAnsi="Times New Roman" w:cs="Times New Roman"/>
                <w:b w:val="0"/>
                <w:sz w:val="20"/>
              </w:rPr>
              <w:t>288.000,00</w:t>
            </w:r>
          </w:p>
        </w:tc>
        <w:tc>
          <w:tcPr>
            <w:tcW w:w="1377" w:type="dxa"/>
            <w:vAlign w:val="top"/>
          </w:tcPr>
          <w:p>
            <w:pPr>
              <w:spacing w:before="0" w:after="0"/>
              <w:jc w:val="center"/>
            </w:pPr>
            <w:r>
              <w:rPr>
                <w:rFonts w:ascii="Times New Roman" w:eastAsia="Times New Roman" w:hAnsi="Times New Roman" w:cs="Times New Roman"/>
                <w:b w:val="0"/>
                <w:sz w:val="20"/>
              </w:rPr>
              <w:t>288.000,00</w:t>
            </w:r>
          </w:p>
        </w:tc>
        <w:tc>
          <w:tcPr>
            <w:tcW w:w="2066" w:type="dxa"/>
            <w:vAlign w:val="top"/>
          </w:tcPr>
          <w:p>
            <w:pPr>
              <w:spacing w:before="0" w:after="0"/>
              <w:jc w:val="center"/>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3568 sayılı yasanın 20, 21, 27, 29 ve 31 seri numaralı genel tebliğleri uyarınca Müşavirliğimizce yapılan inceleme neticesinde 2025 Yılının Mart Aylık Dönemine ait KDV beyannamesinin ihracat istisnası kapsamındaki satışları toplamının 4.000.000,00 TL olduğu ve doğru beyan edildiği tespit edilmiştir.</w:t>
      </w:r>
    </w:p>
    <w:p>
      <w:pPr>
        <w:spacing w:before="0" w:after="120"/>
        <w:jc w:val="both"/>
      </w:pPr>
      <w:r>
        <w:rPr>
          <w:rFonts w:ascii="Times New Roman" w:eastAsia="Times New Roman" w:hAnsi="Times New Roman" w:cs="Times New Roman"/>
          <w:b w:val="0"/>
          <w:i w:val="0"/>
          <w:sz w:val="20"/>
        </w:rPr>
        <w:t>İndirilecek KDV listelerinin KDV beyannamelerinin “Yurtiçi Alımlara İlişkin KDV” satırı ile uyumlu olduğu defter ve belgeler ile mutabık olduğu anlaşılmıştır.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3.5.1. KDV Hasılat ve İade Tutar Karşılaştırması:</w:t>
      </w:r>
    </w:p>
    <w:p>
      <w:pPr>
        <w:spacing w:before="0" w:after="120"/>
        <w:jc w:val="both"/>
      </w:pPr>
      <w:r>
        <w:rPr>
          <w:rFonts w:ascii="Times New Roman" w:eastAsia="Times New Roman" w:hAnsi="Times New Roman" w:cs="Times New Roman"/>
          <w:b w:val="0"/>
          <w:i w:val="0"/>
          <w:sz w:val="20"/>
        </w:rPr>
        <w:t>Mükellef kurumun, yüklendiği halde indirim yolu ile giderilemeyen ve Rapor konusu edilerek iadesi talep edilen 4.000.000,00 TL’nin Katma Değer Vergisi Kanunu’nun 11/1-a maddesine göre vergiden istisna edilmiş ve vergi muafiyeti uygulanmış işlemler sebebiyle aynı Kanunun 32. maddesi uyarınca, nakden veya mahsuben iade edilebilecektir.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2313"/>
        <w:gridCol w:w="2082"/>
        <w:gridCol w:w="2313"/>
        <w:gridCol w:w="2313"/>
      </w:tblGrid>
      <w:tr>
        <w:tc>
          <w:tcPr>
            <w:tcW w:w="2313" w:type="dxa"/>
            <w:vAlign w:val="top"/>
          </w:tcPr>
          <w:p>
            <w:pPr>
              <w:spacing w:before="0" w:after="0"/>
              <w:jc w:val="center"/>
            </w:pPr>
            <w:r>
              <w:rPr>
                <w:rFonts w:ascii="Times New Roman" w:eastAsia="Times New Roman" w:hAnsi="Times New Roman" w:cs="Times New Roman"/>
                <w:b w:val="0"/>
                <w:sz w:val="20"/>
              </w:rPr>
              <w:t>DÖNEMİ</w:t>
            </w:r>
          </w:p>
        </w:tc>
        <w:tc>
          <w:tcPr>
            <w:tcW w:w="2082" w:type="dxa"/>
            <w:vAlign w:val="top"/>
          </w:tcPr>
          <w:p>
            <w:pPr>
              <w:spacing w:before="0" w:after="0"/>
              <w:jc w:val="center"/>
            </w:pPr>
            <w:r>
              <w:rPr>
                <w:rFonts w:ascii="Times New Roman" w:eastAsia="Times New Roman" w:hAnsi="Times New Roman" w:cs="Times New Roman"/>
                <w:b w:val="0"/>
                <w:sz w:val="20"/>
              </w:rPr>
              <w:t>YURT DIŞI SATIŞ TUTARI (TL)</w:t>
            </w:r>
          </w:p>
        </w:tc>
        <w:tc>
          <w:tcPr>
            <w:tcW w:w="2313" w:type="dxa"/>
            <w:vAlign w:val="top"/>
          </w:tcPr>
          <w:p>
            <w:pPr>
              <w:spacing w:before="0" w:after="0"/>
              <w:jc w:val="center"/>
            </w:pPr>
            <w:r>
              <w:rPr>
                <w:rFonts w:ascii="Times New Roman" w:eastAsia="Times New Roman" w:hAnsi="Times New Roman" w:cs="Times New Roman"/>
                <w:b w:val="0"/>
                <w:sz w:val="20"/>
              </w:rPr>
              <w:t>GENEL KDV ORANINA GÖRE İADE EDİLEBİLECEK TUTAR (TL)</w:t>
            </w:r>
          </w:p>
        </w:tc>
        <w:tc>
          <w:tcPr>
            <w:tcW w:w="2313" w:type="dxa"/>
            <w:vAlign w:val="top"/>
          </w:tcPr>
          <w:p>
            <w:pPr>
              <w:spacing w:before="0" w:after="0"/>
              <w:jc w:val="center"/>
            </w:pPr>
            <w:r>
              <w:rPr>
                <w:rFonts w:ascii="Times New Roman" w:eastAsia="Times New Roman" w:hAnsi="Times New Roman" w:cs="Times New Roman"/>
                <w:b w:val="0"/>
                <w:sz w:val="20"/>
              </w:rPr>
              <w:t>İHRACAT NEDENİYLE İADESİ TALEP EDİLEN KDV (TL)</w:t>
            </w:r>
          </w:p>
        </w:tc>
      </w:tr>
      <w:tr>
        <w:tc>
          <w:tcPr>
            <w:tcW w:w="2313" w:type="dxa"/>
            <w:vAlign w:val="top"/>
          </w:tcPr>
          <w:p>
            <w:pPr>
              <w:spacing w:before="0" w:after="0"/>
              <w:jc w:val="center"/>
            </w:pPr>
            <w:r>
              <w:rPr>
                <w:rFonts w:ascii="Times New Roman" w:eastAsia="Times New Roman" w:hAnsi="Times New Roman" w:cs="Times New Roman"/>
                <w:b w:val="0"/>
                <w:sz w:val="20"/>
              </w:rPr>
              <w:t>2025 Yılının Mart Aylık Dönemi</w:t>
            </w:r>
          </w:p>
        </w:tc>
        <w:tc>
          <w:tcPr>
            <w:tcW w:w="2082" w:type="dxa"/>
            <w:vAlign w:val="top"/>
          </w:tcPr>
          <w:p>
            <w:pPr>
              <w:spacing w:before="0" w:after="0"/>
              <w:jc w:val="center"/>
            </w:pPr>
            <w:r>
              <w:rPr>
                <w:rFonts w:ascii="Times New Roman" w:eastAsia="Times New Roman" w:hAnsi="Times New Roman" w:cs="Times New Roman"/>
                <w:b w:val="0"/>
                <w:sz w:val="20"/>
              </w:rPr>
              <w:t>4.000.000,00</w:t>
            </w:r>
          </w:p>
        </w:tc>
        <w:tc>
          <w:tcPr>
            <w:tcW w:w="2313" w:type="dxa"/>
            <w:vAlign w:val="top"/>
          </w:tcPr>
          <w:p>
            <w:pPr>
              <w:spacing w:before="0" w:after="0"/>
              <w:jc w:val="center"/>
            </w:pPr>
            <w:r>
              <w:rPr>
                <w:rFonts w:ascii="Times New Roman" w:eastAsia="Times New Roman" w:hAnsi="Times New Roman" w:cs="Times New Roman"/>
                <w:b w:val="0"/>
                <w:sz w:val="20"/>
              </w:rPr>
              <w:t>800.000,00</w:t>
            </w:r>
          </w:p>
        </w:tc>
        <w:tc>
          <w:tcPr>
            <w:tcW w:w="2313" w:type="dxa"/>
            <w:vAlign w:val="top"/>
          </w:tcPr>
          <w:p>
            <w:pPr>
              <w:spacing w:before="0" w:after="0"/>
              <w:jc w:val="center"/>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3.6. Gider ve Maliyetlerin Analitik İncelenmesi:</w:t>
      </w:r>
    </w:p>
    <w:p>
      <w:pPr>
        <w:spacing w:before="0" w:after="120"/>
        <w:jc w:val="both"/>
      </w:pPr>
      <w:r>
        <w:rPr>
          <w:rFonts w:ascii="Times New Roman" w:eastAsia="Times New Roman" w:hAnsi="Times New Roman" w:cs="Times New Roman"/>
          <w:b w:val="0"/>
          <w:i w:val="0"/>
          <w:sz w:val="20"/>
        </w:rPr>
        <w:t>Mükellef kurumun, 2025 Yılının Mart Aylık Döneminde teslim ve hizmetlerin karşılığında istisna kapsamında 4.000.000,00 TL hasılat elde etmiştir. Bu tutarın tamamının mal ihracatı işlemlerinden kaynakladığı görülmektedir. 2025 Yılının Mart Aylık Döneminde toplam yüklenilen KDV tutarı  TL’nin mükellef kurum tarafından iadesi talebinde bulunulmaktadır. Yüklenilen KDV’nin tamamının direkt mal ve hizmet alımından oluşmakta olduğu, alım ve giderlere ait KDV’ler için başkaca bir analitik incelemeyi gerektirecek ve tereddüt doğuracak herhangi bir unsurun bulunmadığı tespit edilmiştir.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3.7. Gümrük Beyannamelerinin Teyit İşlemleri</w:t>
      </w:r>
    </w:p>
    <w:p>
      <w:pPr>
        <w:spacing w:before="0" w:after="120"/>
        <w:jc w:val="both"/>
      </w:pPr>
      <w:r>
        <w:rPr>
          <w:rFonts w:ascii="Times New Roman" w:eastAsia="Times New Roman" w:hAnsi="Times New Roman" w:cs="Times New Roman"/>
          <w:b w:val="0"/>
          <w:i w:val="0"/>
          <w:sz w:val="20"/>
        </w:rPr>
        <w:t>Kurumun 2025 Yılının Mart Aylık Döneminde fiilen ihraç ettiği mallara ilgili düzenlenen gümrük beyannamelerini incelemiş olup, beyannamelerin gerçek olduğu, beyannamelerde gösterilen malların ihracatının tam olarak gerçekleştirdiği sonucuna varılmıştır.</w:t>
      </w:r>
    </w:p>
    <w:p>
      <w:pPr>
        <w:spacing w:before="0" w:after="120"/>
        <w:jc w:val="both"/>
      </w:pPr>
      <w:r>
        <w:rPr>
          <w:rFonts w:ascii="Times New Roman" w:eastAsia="Times New Roman" w:hAnsi="Times New Roman" w:cs="Times New Roman"/>
          <w:b w:val="0"/>
          <w:i w:val="0"/>
          <w:sz w:val="20"/>
        </w:rPr>
        <w:t>KDV Uygulama Genel Tebliği düzenlemeleri gereğince, gümrük beyannamelerinin teyit işlemlerinin Vergi Dairesi Müdürlüğü’nce VEDOP sorgulaması ile yapılması gerekmektedir. İlgili dönem gümrük çıkış beyannamelerine ilişkin liste aşağıdaki gibidir.</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665"/>
        <w:gridCol w:w="813"/>
        <w:gridCol w:w="1479"/>
        <w:gridCol w:w="1183"/>
        <w:gridCol w:w="1257"/>
        <w:gridCol w:w="887"/>
        <w:gridCol w:w="1257"/>
        <w:gridCol w:w="665"/>
        <w:gridCol w:w="813"/>
      </w:tblGrid>
      <w:tr>
        <w:tc>
          <w:tcPr>
            <w:tcW w:w="665" w:type="dxa"/>
            <w:vAlign w:val="top"/>
          </w:tcPr>
          <w:p>
            <w:pPr>
              <w:spacing w:before="0" w:after="0"/>
              <w:jc w:val="left"/>
            </w:pPr>
            <w:r>
              <w:rPr>
                <w:rFonts w:ascii="Times New Roman" w:eastAsia="Times New Roman" w:hAnsi="Times New Roman" w:cs="Times New Roman"/>
                <w:b w:val="0"/>
                <w:sz w:val="20"/>
              </w:rPr>
              <w:t>GB TARİHİ</w:t>
            </w:r>
          </w:p>
        </w:tc>
        <w:tc>
          <w:tcPr>
            <w:tcW w:w="813" w:type="dxa"/>
            <w:vAlign w:val="top"/>
          </w:tcPr>
          <w:p>
            <w:pPr>
              <w:spacing w:before="0" w:after="0"/>
              <w:jc w:val="left"/>
            </w:pPr>
            <w:r>
              <w:rPr>
                <w:rFonts w:ascii="Times New Roman" w:eastAsia="Times New Roman" w:hAnsi="Times New Roman" w:cs="Times New Roman"/>
                <w:b w:val="0"/>
                <w:sz w:val="20"/>
              </w:rPr>
              <w:t>GB NUMARASI</w:t>
            </w:r>
          </w:p>
        </w:tc>
        <w:tc>
          <w:tcPr>
            <w:tcW w:w="1479" w:type="dxa"/>
            <w:vAlign w:val="top"/>
          </w:tcPr>
          <w:p>
            <w:pPr>
              <w:spacing w:before="0" w:after="0"/>
              <w:jc w:val="left"/>
            </w:pPr>
            <w:r>
              <w:rPr>
                <w:rFonts w:ascii="Times New Roman" w:eastAsia="Times New Roman" w:hAnsi="Times New Roman" w:cs="Times New Roman"/>
                <w:b w:val="0"/>
                <w:sz w:val="20"/>
              </w:rPr>
              <w:t>İHR. FTR.’NIN TARİHİ</w:t>
            </w:r>
          </w:p>
        </w:tc>
        <w:tc>
          <w:tcPr>
            <w:tcW w:w="1183" w:type="dxa"/>
            <w:vAlign w:val="top"/>
          </w:tcPr>
          <w:p>
            <w:pPr>
              <w:spacing w:before="0" w:after="0"/>
              <w:jc w:val="left"/>
            </w:pPr>
            <w:r>
              <w:rPr>
                <w:rFonts w:ascii="Times New Roman" w:eastAsia="Times New Roman" w:hAnsi="Times New Roman" w:cs="Times New Roman"/>
                <w:b w:val="0"/>
                <w:sz w:val="20"/>
              </w:rPr>
              <w:t>İHR. FTR.’NIN NO</w:t>
            </w:r>
          </w:p>
        </w:tc>
        <w:tc>
          <w:tcPr>
            <w:tcW w:w="1257" w:type="dxa"/>
            <w:vAlign w:val="top"/>
          </w:tcPr>
          <w:p>
            <w:pPr>
              <w:spacing w:before="0" w:after="0"/>
              <w:jc w:val="left"/>
            </w:pPr>
            <w:r>
              <w:rPr>
                <w:rFonts w:ascii="Times New Roman" w:eastAsia="Times New Roman" w:hAnsi="Times New Roman" w:cs="Times New Roman"/>
                <w:b w:val="0"/>
                <w:sz w:val="20"/>
              </w:rPr>
              <w:t>ÇIKIŞ GÜMRÜK MÜD.</w:t>
            </w:r>
          </w:p>
        </w:tc>
        <w:tc>
          <w:tcPr>
            <w:tcW w:w="887" w:type="dxa"/>
            <w:vAlign w:val="top"/>
          </w:tcPr>
          <w:p>
            <w:pPr>
              <w:spacing w:before="0" w:after="0"/>
              <w:jc w:val="left"/>
            </w:pPr>
            <w:r>
              <w:rPr>
                <w:rFonts w:ascii="Times New Roman" w:eastAsia="Times New Roman" w:hAnsi="Times New Roman" w:cs="Times New Roman"/>
                <w:b w:val="0"/>
                <w:sz w:val="20"/>
              </w:rPr>
              <w:t>İNTAÇ TARİHİ</w:t>
            </w:r>
          </w:p>
        </w:tc>
        <w:tc>
          <w:tcPr>
            <w:tcW w:w="1257" w:type="dxa"/>
            <w:vAlign w:val="top"/>
          </w:tcPr>
          <w:p>
            <w:pPr>
              <w:spacing w:before="0" w:after="0"/>
              <w:jc w:val="left"/>
            </w:pPr>
            <w:r>
              <w:rPr>
                <w:rFonts w:ascii="Times New Roman" w:eastAsia="Times New Roman" w:hAnsi="Times New Roman" w:cs="Times New Roman"/>
                <w:b w:val="0"/>
                <w:sz w:val="20"/>
              </w:rPr>
              <w:t>DÖVİZ TUTARI (TL)</w:t>
            </w:r>
          </w:p>
        </w:tc>
        <w:tc>
          <w:tcPr>
            <w:tcW w:w="665" w:type="dxa"/>
            <w:vAlign w:val="top"/>
          </w:tcPr>
          <w:p>
            <w:pPr>
              <w:spacing w:before="0" w:after="0"/>
              <w:jc w:val="left"/>
            </w:pPr>
            <w:r>
              <w:rPr>
                <w:rFonts w:ascii="Times New Roman" w:eastAsia="Times New Roman" w:hAnsi="Times New Roman" w:cs="Times New Roman"/>
                <w:b w:val="0"/>
                <w:sz w:val="20"/>
              </w:rPr>
              <w:t>KURU (TL)</w:t>
            </w:r>
          </w:p>
        </w:tc>
        <w:tc>
          <w:tcPr>
            <w:tcW w:w="813" w:type="dxa"/>
            <w:vAlign w:val="top"/>
          </w:tcPr>
          <w:p>
            <w:pPr>
              <w:spacing w:before="0" w:after="0"/>
              <w:jc w:val="left"/>
            </w:pPr>
            <w:r>
              <w:rPr>
                <w:rFonts w:ascii="Times New Roman" w:eastAsia="Times New Roman" w:hAnsi="Times New Roman" w:cs="Times New Roman"/>
                <w:b w:val="0"/>
                <w:sz w:val="20"/>
              </w:rPr>
              <w:t>TUTARI (TL)</w:t>
            </w:r>
          </w:p>
        </w:tc>
      </w:tr>
      <w:tr>
        <w:tc>
          <w:tcPr>
            <w:tcW w:w="665" w:type="dxa"/>
            <w:vAlign w:val="top"/>
          </w:tcPr>
          <w:p>
            <w:pPr>
              <w:spacing w:before="0" w:after="0"/>
              <w:jc w:val="left"/>
            </w:pPr>
            <w:r>
              <w:rPr>
                <w:rFonts w:ascii="Times New Roman" w:eastAsia="Times New Roman" w:hAnsi="Times New Roman" w:cs="Times New Roman"/>
                <w:b w:val="0"/>
                <w:sz w:val="20"/>
              </w:rPr>
              <w:t/>
            </w:r>
          </w:p>
        </w:tc>
        <w:tc>
          <w:tcPr>
            <w:tcW w:w="813" w:type="dxa"/>
            <w:vAlign w:val="top"/>
          </w:tcPr>
          <w:p>
            <w:pPr>
              <w:spacing w:before="0" w:after="0"/>
              <w:jc w:val="left"/>
            </w:pPr>
            <w:r>
              <w:rPr>
                <w:rFonts w:ascii="Times New Roman" w:eastAsia="Times New Roman" w:hAnsi="Times New Roman" w:cs="Times New Roman"/>
                <w:b w:val="0"/>
                <w:sz w:val="20"/>
              </w:rPr>
              <w:t/>
            </w:r>
          </w:p>
        </w:tc>
        <w:tc>
          <w:tcPr>
            <w:tcW w:w="1479" w:type="dxa"/>
            <w:vAlign w:val="top"/>
          </w:tcPr>
          <w:p>
            <w:pPr>
              <w:spacing w:before="0" w:after="0"/>
              <w:jc w:val="left"/>
            </w:pPr>
            <w:r>
              <w:rPr>
                <w:rFonts w:ascii="Times New Roman" w:eastAsia="Times New Roman" w:hAnsi="Times New Roman" w:cs="Times New Roman"/>
                <w:b w:val="0"/>
                <w:sz w:val="20"/>
              </w:rPr>
              <w:t/>
            </w:r>
          </w:p>
        </w:tc>
        <w:tc>
          <w:tcPr>
            <w:tcW w:w="1183" w:type="dxa"/>
            <w:vAlign w:val="top"/>
          </w:tcPr>
          <w:p>
            <w:pPr>
              <w:spacing w:before="0" w:after="0"/>
              <w:jc w:val="left"/>
            </w:pPr>
            <w:r>
              <w:rPr>
                <w:rFonts w:ascii="Times New Roman" w:eastAsia="Times New Roman" w:hAnsi="Times New Roman" w:cs="Times New Roman"/>
                <w:b w:val="0"/>
                <w:sz w:val="20"/>
              </w:rPr>
              <w:t/>
            </w:r>
          </w:p>
        </w:tc>
        <w:tc>
          <w:tcPr>
            <w:tcW w:w="1257" w:type="dxa"/>
            <w:vAlign w:val="top"/>
          </w:tcPr>
          <w:p>
            <w:pPr>
              <w:spacing w:before="0" w:after="0"/>
              <w:jc w:val="left"/>
            </w:pPr>
            <w:r>
              <w:rPr>
                <w:rFonts w:ascii="Times New Roman" w:eastAsia="Times New Roman" w:hAnsi="Times New Roman" w:cs="Times New Roman"/>
                <w:b w:val="0"/>
                <w:sz w:val="20"/>
              </w:rPr>
              <w:t/>
            </w:r>
          </w:p>
        </w:tc>
        <w:tc>
          <w:tcPr>
            <w:tcW w:w="887" w:type="dxa"/>
            <w:vAlign w:val="top"/>
          </w:tcPr>
          <w:p>
            <w:pPr>
              <w:spacing w:before="0" w:after="0"/>
              <w:jc w:val="left"/>
            </w:pPr>
            <w:r>
              <w:rPr>
                <w:rFonts w:ascii="Times New Roman" w:eastAsia="Times New Roman" w:hAnsi="Times New Roman" w:cs="Times New Roman"/>
                <w:b w:val="0"/>
                <w:sz w:val="20"/>
              </w:rPr>
              <w:t/>
            </w:r>
          </w:p>
        </w:tc>
        <w:tc>
          <w:tcPr>
            <w:tcW w:w="1257" w:type="dxa"/>
            <w:vAlign w:val="top"/>
          </w:tcPr>
          <w:p>
            <w:pPr>
              <w:spacing w:before="0" w:after="0"/>
              <w:jc w:val="left"/>
            </w:pPr>
            <w:r>
              <w:rPr>
                <w:rFonts w:ascii="Times New Roman" w:eastAsia="Times New Roman" w:hAnsi="Times New Roman" w:cs="Times New Roman"/>
                <w:b w:val="0"/>
                <w:sz w:val="20"/>
              </w:rPr>
              <w:t/>
            </w:r>
          </w:p>
        </w:tc>
        <w:tc>
          <w:tcPr>
            <w:tcW w:w="665" w:type="dxa"/>
            <w:vAlign w:val="top"/>
          </w:tcPr>
          <w:p>
            <w:pPr>
              <w:spacing w:before="0" w:after="0"/>
              <w:jc w:val="left"/>
            </w:pPr>
            <w:r>
              <w:rPr>
                <w:rFonts w:ascii="Times New Roman" w:eastAsia="Times New Roman" w:hAnsi="Times New Roman" w:cs="Times New Roman"/>
                <w:b w:val="0"/>
                <w:sz w:val="20"/>
              </w:rPr>
              <w:t/>
            </w:r>
          </w:p>
        </w:tc>
        <w:tc>
          <w:tcPr>
            <w:tcW w:w="813"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3.8. Döviz Alım Belgeleri ile İlgili Açıklamalar</w:t>
      </w:r>
    </w:p>
    <w:p>
      <w:pPr>
        <w:spacing w:before="0" w:after="120"/>
        <w:jc w:val="both"/>
      </w:pPr>
      <w:r>
        <w:rPr>
          <w:rFonts w:ascii="Times New Roman" w:eastAsia="Times New Roman" w:hAnsi="Times New Roman" w:cs="Times New Roman"/>
          <w:b w:val="0"/>
          <w:i w:val="0"/>
          <w:sz w:val="20"/>
        </w:rPr>
        <w:t>3568 sayılı Kanun’un 34 seri numaralı Tebliği ve KDV Uygulama Genel Tebliğ düzenlemeleri gereğince, KDV Kanunu’nun 11’inci maddesi kapsamında mal ihracından doğan KDV iadesi işlemlerinde düzenlenecek KDV İadesi Tasdik Raporlarına döviz alım belgelerinin eklenmesi zorunluluğu bulunmamaktadır.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i w:val="0"/>
          <w:sz w:val="20"/>
        </w:rPr>
        <w:t>IV-SONUÇ:</w:t>
      </w:r>
    </w:p>
    <w:p>
      <w:pPr>
        <w:spacing w:before="0" w:after="120"/>
        <w:jc w:val="both"/>
      </w:pPr>
      <w:r>
        <w:rPr>
          <w:rFonts w:ascii="Times New Roman" w:eastAsia="Times New Roman" w:hAnsi="Times New Roman" w:cs="Times New Roman"/>
          <w:b w:val="0"/>
          <w:i w:val="0"/>
          <w:sz w:val="20"/>
        </w:rPr>
        <w:t>Kurgusal V.D. Vergi Dairesi Müdürlüğünün 9990001112 vergi kimlik numaralı mükellefi Örnek İhracat ve Tekstil A.Ş.'nin 2025 Yılının Mart Aylık Dönemi hesaplarının katma değer vergisi iadesi yönünden bir bütün olarak incelenmesi neticesinde,</w:t>
      </w:r>
    </w:p>
    <w:p>
      <w:pPr>
        <w:spacing w:before="0" w:after="120"/>
        <w:jc w:val="both"/>
      </w:pPr>
      <w:r>
        <w:rPr>
          <w:rFonts w:ascii="Times New Roman" w:eastAsia="Times New Roman" w:hAnsi="Times New Roman" w:cs="Times New Roman"/>
          <w:b w:val="0"/>
          <w:i w:val="0"/>
          <w:sz w:val="20"/>
        </w:rPr>
        <w:t>1. Fiili durum muhasebe kayıt ve belgelerinin ve bunlara ait KDV beyannamelerinin ilgili mevzuata uygun olduğu,</w:t>
      </w:r>
    </w:p>
    <w:p>
      <w:pPr>
        <w:spacing w:before="0" w:after="120"/>
        <w:jc w:val="both"/>
      </w:pPr>
      <w:r>
        <w:rPr>
          <w:rFonts w:ascii="Times New Roman" w:eastAsia="Times New Roman" w:hAnsi="Times New Roman" w:cs="Times New Roman"/>
          <w:b w:val="0"/>
          <w:i w:val="0"/>
          <w:sz w:val="20"/>
        </w:rPr>
        <w:t>2. Mal ve hizmet alımı nedeniyle yüklenilen KDV’lerinin satıcılar ve alt firmalar tarafından zıyaına uğratıldığına dair herhangi bir şüphenin hasıl olmadığı,</w:t>
      </w:r>
    </w:p>
    <w:tbl>
      <w:tblPr>
        <w:tblW w:w="850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Pr>
      <w:tblGrid>
        <w:gridCol w:w="4510"/>
        <w:gridCol w:w="4510"/>
      </w:tblGrid>
      <w:tr>
        <w:tc>
          <w:tcPr>
            <w:tcW w:w="4510" w:type="dxa"/>
            <w:vAlign w:val="top"/>
          </w:tcPr>
          <w:p>
            <w:pPr>
              <w:spacing w:before="0" w:after="0"/>
              <w:jc w:val="left"/>
            </w:pPr>
            <w:r>
              <w:rPr>
                <w:rFonts w:ascii="Times New Roman" w:eastAsia="Times New Roman" w:hAnsi="Times New Roman" w:cs="Times New Roman"/>
                <w:b w:val="0"/>
                <w:sz w:val="20"/>
              </w:rPr>
              <w:t>DÖNEMİ</w:t>
            </w:r>
          </w:p>
        </w:tc>
        <w:tc>
          <w:tcPr>
            <w:tcW w:w="4510" w:type="dxa"/>
            <w:vAlign w:val="top"/>
          </w:tcPr>
          <w:p>
            <w:pPr>
              <w:spacing w:before="0" w:after="0"/>
              <w:jc w:val="left"/>
            </w:pPr>
            <w:r>
              <w:rPr>
                <w:rFonts w:ascii="Times New Roman" w:eastAsia="Times New Roman" w:hAnsi="Times New Roman" w:cs="Times New Roman"/>
                <w:b w:val="0"/>
                <w:sz w:val="20"/>
              </w:rPr>
              <w:t>İHRACAT NEDENİYLE İADESİ TALEP EDİLEN KDV (TL)</w:t>
            </w:r>
          </w:p>
        </w:tc>
      </w:tr>
      <w:tr>
        <w:tc>
          <w:tcPr>
            <w:tcW w:w="4510" w:type="dxa"/>
            <w:vAlign w:val="top"/>
          </w:tcPr>
          <w:p>
            <w:pPr>
              <w:spacing w:before="0" w:after="0"/>
              <w:jc w:val="left"/>
            </w:pPr>
            <w:r>
              <w:rPr>
                <w:rFonts w:ascii="Times New Roman" w:eastAsia="Times New Roman" w:hAnsi="Times New Roman" w:cs="Times New Roman"/>
                <w:b w:val="0"/>
                <w:sz w:val="20"/>
              </w:rPr>
              <w:t>2025 Yılının Mart Aylık Dönemi</w:t>
            </w:r>
          </w:p>
        </w:tc>
        <w:tc>
          <w:tcPr>
            <w:tcW w:w="4510" w:type="dxa"/>
            <w:vAlign w:val="top"/>
          </w:tcPr>
          <w:p>
            <w:pPr>
              <w:spacing w:before="0" w:after="0"/>
              <w:jc w:val="left"/>
            </w:pPr>
            <w:r>
              <w:rPr>
                <w:rFonts w:ascii="Times New Roman" w:eastAsia="Times New Roman" w:hAnsi="Times New Roman" w:cs="Times New Roman"/>
                <w:b w:val="0"/>
                <w:sz w:val="20"/>
              </w:rPr>
              <w:t/>
            </w:r>
          </w:p>
        </w:tc>
      </w:tr>
    </w:tbl>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val="0"/>
          <w:i w:val="0"/>
          <w:sz w:val="20"/>
        </w:rPr>
        <w:t>3. Raporun önceki bölümünde de açıklandığı üzere K.D.V Kanununun 11/1a ve 12/1-a kapsamında yapmış olduğu işlemlere ilişkin yüklendiği halde indirim yolu ile giderilemeyen ve rapor konusu edilerek iadesi talep edilen  TL’nin Katma Değer Vergisi Kanunu’nun 11/1-a maddesine göre vergiden istisna edilmiş ve vergi muafiyeti uygulanmış işlemler sebebiyle aynı Kanunun 32. maddesi uyarınca, nakden veya mahsuben iade edilebileceği,</w:t>
      </w:r>
    </w:p>
    <w:p>
      <w:pPr>
        <w:spacing w:before="0" w:after="120"/>
        <w:jc w:val="both"/>
      </w:pPr>
      <w:r>
        <w:rPr>
          <w:rFonts w:ascii="Times New Roman" w:eastAsia="Times New Roman" w:hAnsi="Times New Roman" w:cs="Times New Roman"/>
          <w:b w:val="0"/>
          <w:i w:val="0"/>
          <w:sz w:val="20"/>
        </w:rPr>
        <w:t>tespit ve tasdik olunur.</w:t>
      </w:r>
    </w:p>
    <w:p>
      <w:pPr>
        <w:spacing w:before="0" w:after="120"/>
        <w:jc w:val="both"/>
      </w:pPr>
      <w:r>
        <w:rPr>
          <w:rFonts w:ascii="Times New Roman" w:eastAsia="Times New Roman" w:hAnsi="Times New Roman" w:cs="Times New Roman"/>
          <w:b w:val="0"/>
          <w:i w:val="0"/>
          <w:sz w:val="20"/>
        </w:rPr>
        <w:t>3568 Sayılı Kanun ve bu kanuna dayalı olarak yayınlanan 20, 27 ve 29 numaralı tebliğler esasında hazırlanan işbu Katma Değer Vergisi İade Raporu tarafımdan tanzim edilmiştir.</w:t>
      </w:r>
    </w:p>
    <w:p>
      <w:pPr>
        <w:spacing w:before="0" w:after="120"/>
        <w:jc w:val="both"/>
      </w:pPr>
      <w:r>
        <w:rPr>
          <w:rFonts w:ascii="Times New Roman" w:eastAsia="Times New Roman" w:hAnsi="Times New Roman" w:cs="Times New Roman"/>
          <w:b w:val="0"/>
          <w:i w:val="0"/>
          <w:sz w:val="20"/>
        </w:rPr>
        <w:t/>
      </w:r>
    </w:p>
    <w:p>
      <w:pPr>
        <w:spacing w:before="0" w:after="120"/>
        <w:jc w:val="both"/>
      </w:pPr>
      <w:r>
        <w:rPr>
          <w:rFonts w:ascii="Times New Roman" w:eastAsia="Times New Roman" w:hAnsi="Times New Roman" w:cs="Times New Roman"/>
          <w:b/>
          <w:i w:val="0"/>
          <w:sz w:val="20"/>
        </w:rPr>
        <w:t xml:space="preserve"> </w:t>
      </w:r>
    </w:p>
    <w:p>
      <w:pPr>
        <w:spacing w:before="0" w:after="120"/>
        <w:jc w:val="both"/>
      </w:pPr>
      <w:r>
        <w:rPr>
          <w:rFonts w:ascii="Times New Roman" w:eastAsia="Times New Roman" w:hAnsi="Times New Roman" w:cs="Times New Roman"/>
          <w:b/>
          <w:i w:val="0"/>
          <w:sz w:val="20"/>
        </w:rPr>
        <w:t>Yeminli Mali Müşavir</w:t>
      </w:r>
    </w:p>
    <w:sectPr>
      <w:pgSz w:w="11906" w:h="16838"/>
      <w:pgMar w:top="1440" w:right="1440" w:bottom="1440" w:left="1440" w:header="851" w:footer="992" w:gutter="0"/>
      <w:cols w:space="425"/>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2026-10-08T13:21:41Z</dcterms:created>
  <dc:creator>NPOI</dc:creator>
</coreProperties>
</file>

<file path=docProps/custom.xml><?xml version="1.0" encoding="utf-8"?>
<Properties xmlns="http://schemas.openxmlformats.org/officeDocument/2006/custom-properties">
  <property fmtid="{D5CDD505-2E9C-101B-9397-08002B2CF9AE}" pid="2" name="Generator">
    <lpwstr xmlns="http://schemas.openxmlformats.org/officeDocument/2006/docPropsVTypes">NPOI</lpwstr>
  </property>
  <property fmtid="{D5CDD505-2E9C-101B-9397-08002B2CF9AE}" pid="3" name="Generator Version">
    <lpwstr xmlns="http://schemas.openxmlformats.org/officeDocument/2006/docPropsVTypes">2.7.4</lpwstr>
  </property>
</Properties>
</file>